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2054C1" w14:textId="77777777" w:rsidR="00DF16B0" w:rsidRPr="009E74BC" w:rsidRDefault="00DF16B0" w:rsidP="00DC661D">
      <w:pPr>
        <w:spacing w:after="240"/>
        <w:rPr>
          <w:rFonts w:ascii="Avenir LT Std 35 Light" w:hAnsi="Avenir LT Std 35 Light" w:cstheme="minorHAnsi"/>
          <w:sz w:val="22"/>
          <w:szCs w:val="22"/>
        </w:rPr>
      </w:pPr>
    </w:p>
    <w:p w14:paraId="67660FFB" w14:textId="77777777" w:rsidR="007B3D99" w:rsidRPr="009E74BC" w:rsidRDefault="007B3D99" w:rsidP="00DC661D">
      <w:pPr>
        <w:spacing w:after="240"/>
        <w:rPr>
          <w:rFonts w:ascii="Avenir LT Std 35 Light" w:hAnsi="Avenir LT Std 35 Light" w:cstheme="minorHAnsi"/>
          <w:sz w:val="22"/>
          <w:szCs w:val="22"/>
        </w:rPr>
      </w:pPr>
    </w:p>
    <w:p w14:paraId="0EB7B918" w14:textId="4CD1E78E" w:rsidR="00C919D3" w:rsidRPr="009E74BC" w:rsidRDefault="00413525" w:rsidP="00DC661D">
      <w:pPr>
        <w:spacing w:after="240"/>
        <w:rPr>
          <w:rFonts w:ascii="Avenir LT Std 35 Light" w:hAnsi="Avenir LT Std 35 Light" w:cstheme="minorHAnsi"/>
          <w:sz w:val="22"/>
          <w:szCs w:val="22"/>
        </w:rPr>
      </w:pPr>
      <w:r w:rsidRPr="009204EF">
        <w:rPr>
          <w:rFonts w:ascii="Avenir LT Std 35 Light" w:hAnsi="Avenir LT Std 35 Light" w:cstheme="minorHAnsi"/>
          <w:sz w:val="22"/>
          <w:szCs w:val="22"/>
        </w:rPr>
        <w:t>24 August</w:t>
      </w:r>
      <w:r w:rsidR="007B3D99" w:rsidRPr="009204EF">
        <w:rPr>
          <w:rFonts w:ascii="Avenir LT Std 35 Light" w:hAnsi="Avenir LT Std 35 Light" w:cstheme="minorHAnsi"/>
          <w:sz w:val="22"/>
          <w:szCs w:val="22"/>
        </w:rPr>
        <w:t xml:space="preserve"> </w:t>
      </w:r>
      <w:r w:rsidR="003A7482" w:rsidRPr="009204EF">
        <w:rPr>
          <w:rFonts w:ascii="Avenir LT Std 35 Light" w:hAnsi="Avenir LT Std 35 Light" w:cstheme="minorHAnsi"/>
          <w:sz w:val="22"/>
          <w:szCs w:val="22"/>
        </w:rPr>
        <w:t>2026</w:t>
      </w:r>
    </w:p>
    <w:p w14:paraId="66F3C356" w14:textId="77777777" w:rsidR="00AA6CC0" w:rsidRPr="009E74BC" w:rsidRDefault="00AA6CC0" w:rsidP="00AA6CC0">
      <w:pPr>
        <w:pStyle w:val="NoSpacing"/>
        <w:spacing w:before="0" w:after="0" w:line="280" w:lineRule="exact"/>
        <w:rPr>
          <w:rFonts w:ascii="Avenir LT Std 35 Light" w:hAnsi="Avenir LT Std 35 Light" w:cstheme="minorHAnsi"/>
          <w:color w:val="002060"/>
          <w:sz w:val="22"/>
          <w:szCs w:val="22"/>
        </w:rPr>
      </w:pPr>
      <w:r w:rsidRPr="009E74BC">
        <w:rPr>
          <w:rFonts w:ascii="Avenir LT Std 35 Light" w:hAnsi="Avenir LT Std 35 Light" w:cstheme="minorHAnsi"/>
          <w:color w:val="002060"/>
          <w:sz w:val="22"/>
          <w:szCs w:val="22"/>
        </w:rPr>
        <w:t>Dr Keith Kendall FCPA</w:t>
      </w:r>
    </w:p>
    <w:p w14:paraId="3099997A" w14:textId="77777777" w:rsidR="00AA6CC0" w:rsidRPr="009E74BC" w:rsidRDefault="00AA6CC0" w:rsidP="00AA6CC0">
      <w:pPr>
        <w:pStyle w:val="NoSpacing"/>
        <w:spacing w:before="0" w:after="0" w:line="280" w:lineRule="exact"/>
        <w:rPr>
          <w:rFonts w:ascii="Avenir LT Std 35 Light" w:hAnsi="Avenir LT Std 35 Light" w:cstheme="minorHAnsi"/>
          <w:color w:val="002060"/>
          <w:sz w:val="22"/>
          <w:szCs w:val="22"/>
        </w:rPr>
      </w:pPr>
      <w:r w:rsidRPr="009E74BC">
        <w:rPr>
          <w:rFonts w:ascii="Avenir LT Std 35 Light" w:hAnsi="Avenir LT Std 35 Light" w:cstheme="minorHAnsi"/>
          <w:color w:val="002060"/>
          <w:sz w:val="22"/>
          <w:szCs w:val="22"/>
        </w:rPr>
        <w:t>Chair</w:t>
      </w:r>
    </w:p>
    <w:p w14:paraId="0FA1B1FE" w14:textId="77777777" w:rsidR="00AA6CC0" w:rsidRPr="009E74BC" w:rsidRDefault="00AA6CC0" w:rsidP="00AA6CC0">
      <w:pPr>
        <w:pStyle w:val="NoSpacing"/>
        <w:spacing w:before="0" w:after="0" w:line="280" w:lineRule="exact"/>
        <w:rPr>
          <w:rFonts w:ascii="Avenir LT Std 35 Light" w:hAnsi="Avenir LT Std 35 Light" w:cstheme="minorHAnsi"/>
          <w:color w:val="002060"/>
          <w:sz w:val="22"/>
          <w:szCs w:val="22"/>
        </w:rPr>
      </w:pPr>
      <w:r w:rsidRPr="009E74BC">
        <w:rPr>
          <w:rFonts w:ascii="Avenir LT Std 35 Light" w:hAnsi="Avenir LT Std 35 Light" w:cstheme="minorHAnsi"/>
          <w:color w:val="002060"/>
          <w:sz w:val="22"/>
          <w:szCs w:val="22"/>
        </w:rPr>
        <w:t>Australian Accounting Standards Board</w:t>
      </w:r>
    </w:p>
    <w:p w14:paraId="49361A7D" w14:textId="77777777" w:rsidR="00AA6CC0" w:rsidRPr="009E74BC" w:rsidRDefault="00AA6CC0" w:rsidP="00AA6CC0">
      <w:pPr>
        <w:pStyle w:val="NoSpacing"/>
        <w:spacing w:before="0" w:after="0" w:line="280" w:lineRule="exact"/>
        <w:rPr>
          <w:rFonts w:ascii="Avenir LT Std 35 Light" w:hAnsi="Avenir LT Std 35 Light" w:cstheme="minorHAnsi"/>
          <w:color w:val="002060"/>
          <w:sz w:val="22"/>
          <w:szCs w:val="22"/>
        </w:rPr>
      </w:pPr>
      <w:r w:rsidRPr="009E74BC">
        <w:rPr>
          <w:rFonts w:ascii="Avenir LT Std 35 Light" w:hAnsi="Avenir LT Std 35 Light" w:cstheme="minorHAnsi"/>
          <w:color w:val="002060"/>
          <w:sz w:val="22"/>
          <w:szCs w:val="22"/>
        </w:rPr>
        <w:t>PO Box 204, Collins Street West, Victoria 8007</w:t>
      </w:r>
    </w:p>
    <w:p w14:paraId="3BA3169C" w14:textId="77777777" w:rsidR="00AA6CC0" w:rsidRPr="009E74BC" w:rsidRDefault="00AA6CC0" w:rsidP="00AA6CC0">
      <w:pPr>
        <w:spacing w:before="240" w:after="240"/>
        <w:rPr>
          <w:rFonts w:ascii="Avenir LT Std 35 Light" w:hAnsi="Avenir LT Std 35 Light"/>
        </w:rPr>
      </w:pPr>
      <w:r w:rsidRPr="009E74BC">
        <w:rPr>
          <w:rFonts w:ascii="Avenir LT Std 35 Light" w:hAnsi="Avenir LT Std 35 Light"/>
          <w:color w:val="002060"/>
          <w:sz w:val="22"/>
          <w:szCs w:val="22"/>
        </w:rPr>
        <w:t xml:space="preserve">Via </w:t>
      </w:r>
      <w:r w:rsidRPr="009E74BC">
        <w:rPr>
          <w:rFonts w:ascii="Avenir LT Std 35 Light" w:hAnsi="Avenir LT Std 35 Light" w:cstheme="minorHAnsi"/>
          <w:color w:val="002060"/>
          <w:sz w:val="22"/>
          <w:szCs w:val="22"/>
        </w:rPr>
        <w:t xml:space="preserve">online submission: </w:t>
      </w:r>
      <w:hyperlink r:id="rId8" w:history="1">
        <w:r w:rsidRPr="009E74BC">
          <w:rPr>
            <w:rStyle w:val="Hyperlink"/>
            <w:rFonts w:ascii="Avenir LT Std 35 Light" w:hAnsi="Avenir LT Std 35 Light" w:cstheme="minorHAnsi"/>
            <w:color w:val="44546A" w:themeColor="text2"/>
            <w:sz w:val="22"/>
            <w:szCs w:val="22"/>
          </w:rPr>
          <w:t>www.aasb.gov.au</w:t>
        </w:r>
      </w:hyperlink>
    </w:p>
    <w:p w14:paraId="73A75710" w14:textId="7F24F9BB" w:rsidR="004B7110" w:rsidRPr="009E74BC" w:rsidRDefault="004B7110" w:rsidP="004B7110">
      <w:pPr>
        <w:pStyle w:val="NoSpacing"/>
        <w:spacing w:before="0" w:after="0" w:line="280" w:lineRule="exact"/>
        <w:rPr>
          <w:rFonts w:ascii="Avenir LT Std 35 Light" w:hAnsi="Avenir LT Std 35 Light" w:cstheme="minorHAnsi"/>
          <w:color w:val="002060"/>
          <w:sz w:val="22"/>
          <w:szCs w:val="22"/>
        </w:rPr>
      </w:pPr>
      <w:r w:rsidRPr="009E74BC">
        <w:rPr>
          <w:rFonts w:ascii="Avenir LT Std 35 Light" w:hAnsi="Avenir LT Std 35 Light" w:cstheme="minorHAnsi"/>
          <w:color w:val="002060"/>
          <w:sz w:val="22"/>
          <w:szCs w:val="22"/>
        </w:rPr>
        <w:t>Dear Ke</w:t>
      </w:r>
      <w:r w:rsidR="001E3F44">
        <w:rPr>
          <w:rFonts w:ascii="Avenir LT Std 35 Light" w:hAnsi="Avenir LT Std 35 Light" w:cstheme="minorHAnsi"/>
          <w:color w:val="002060"/>
          <w:sz w:val="22"/>
          <w:szCs w:val="22"/>
        </w:rPr>
        <w:t>i</w:t>
      </w:r>
      <w:r w:rsidRPr="009E74BC">
        <w:rPr>
          <w:rFonts w:ascii="Avenir LT Std 35 Light" w:hAnsi="Avenir LT Std 35 Light" w:cstheme="minorHAnsi"/>
          <w:color w:val="002060"/>
          <w:sz w:val="22"/>
          <w:szCs w:val="22"/>
        </w:rPr>
        <w:t>th</w:t>
      </w:r>
    </w:p>
    <w:p w14:paraId="19F85665" w14:textId="451F8330" w:rsidR="00E433A1" w:rsidRPr="009E74BC" w:rsidRDefault="00413525" w:rsidP="005C0F01">
      <w:pPr>
        <w:spacing w:before="120" w:after="40" w:line="276" w:lineRule="auto"/>
        <w:jc w:val="both"/>
        <w:rPr>
          <w:rFonts w:ascii="Avenir LT Std 35 Light" w:hAnsi="Avenir LT Std 35 Light"/>
          <w:b/>
          <w:sz w:val="22"/>
          <w:szCs w:val="22"/>
        </w:rPr>
      </w:pPr>
      <w:r>
        <w:rPr>
          <w:rFonts w:ascii="Avenir LT Std 35 Light" w:hAnsi="Avenir LT Std 35 Light"/>
          <w:b/>
          <w:sz w:val="22"/>
          <w:szCs w:val="22"/>
        </w:rPr>
        <w:t xml:space="preserve">Exposure Draft 341 - </w:t>
      </w:r>
      <w:r w:rsidRPr="00413525">
        <w:rPr>
          <w:rFonts w:ascii="Avenir LT Std 35 Light" w:hAnsi="Avenir LT Std 35 Light"/>
          <w:b/>
          <w:sz w:val="22"/>
          <w:szCs w:val="22"/>
        </w:rPr>
        <w:t>Updating AASB 1060 to Align the</w:t>
      </w:r>
      <w:r>
        <w:rPr>
          <w:rFonts w:ascii="Avenir LT Std 35 Light" w:hAnsi="Avenir LT Std 35 Light"/>
          <w:b/>
          <w:sz w:val="22"/>
          <w:szCs w:val="22"/>
        </w:rPr>
        <w:t xml:space="preserve"> </w:t>
      </w:r>
      <w:r w:rsidRPr="00413525">
        <w:rPr>
          <w:rFonts w:ascii="Avenir LT Std 35 Light" w:hAnsi="Avenir LT Std 35 Light"/>
          <w:b/>
          <w:sz w:val="22"/>
          <w:szCs w:val="22"/>
        </w:rPr>
        <w:t>Classification and Presentation</w:t>
      </w:r>
      <w:r>
        <w:rPr>
          <w:rFonts w:ascii="Avenir LT Std 35 Light" w:hAnsi="Avenir LT Std 35 Light"/>
          <w:b/>
          <w:sz w:val="22"/>
          <w:szCs w:val="22"/>
        </w:rPr>
        <w:t xml:space="preserve"> </w:t>
      </w:r>
      <w:r w:rsidRPr="00413525">
        <w:rPr>
          <w:rFonts w:ascii="Avenir LT Std 35 Light" w:hAnsi="Avenir LT Std 35 Light"/>
          <w:b/>
          <w:sz w:val="22"/>
          <w:szCs w:val="22"/>
        </w:rPr>
        <w:t>Requirements with AASB 18</w:t>
      </w:r>
    </w:p>
    <w:p w14:paraId="5F47DB85" w14:textId="682C9927" w:rsidR="00C919D3" w:rsidRDefault="00C919D3" w:rsidP="005C0F01">
      <w:pPr>
        <w:spacing w:before="120" w:after="40" w:line="276" w:lineRule="auto"/>
        <w:jc w:val="both"/>
        <w:rPr>
          <w:rFonts w:ascii="Avenir LT Std 35 Light" w:hAnsi="Avenir LT Std 35 Light" w:cstheme="minorHAnsi"/>
          <w:sz w:val="22"/>
          <w:szCs w:val="22"/>
        </w:rPr>
      </w:pPr>
      <w:r w:rsidRPr="009E74BC">
        <w:rPr>
          <w:rFonts w:ascii="Avenir LT Std 35 Light" w:hAnsi="Avenir LT Std 35 Light" w:cstheme="minorHAnsi"/>
          <w:sz w:val="22"/>
          <w:szCs w:val="22"/>
        </w:rPr>
        <w:t>As one of the largest professional accounting bodies in the world, CPA Australia represents the diverse interests of more than 175,000 members working in over 100 jurisdictions and regions around the world</w:t>
      </w:r>
      <w:r w:rsidR="00296AAA" w:rsidRPr="009E74BC">
        <w:rPr>
          <w:rFonts w:ascii="Avenir LT Std 35 Light" w:hAnsi="Avenir LT Std 35 Light" w:cstheme="minorHAnsi"/>
          <w:sz w:val="22"/>
          <w:szCs w:val="22"/>
        </w:rPr>
        <w:t xml:space="preserve">, working in diverse roles across public practice, commerce, industry, government and academia </w:t>
      </w:r>
      <w:r w:rsidR="00A1400B" w:rsidRPr="009E74BC">
        <w:rPr>
          <w:rFonts w:ascii="Avenir LT Std 35 Light" w:hAnsi="Avenir LT Std 35 Light" w:cstheme="minorHAnsi"/>
          <w:sz w:val="22"/>
          <w:szCs w:val="22"/>
        </w:rPr>
        <w:t>throughout Australia and internationally</w:t>
      </w:r>
      <w:r w:rsidRPr="009E74BC">
        <w:rPr>
          <w:rFonts w:ascii="Avenir LT Std 35 Light" w:hAnsi="Avenir LT Std 35 Light" w:cstheme="minorHAnsi"/>
          <w:sz w:val="22"/>
          <w:szCs w:val="22"/>
        </w:rPr>
        <w:t xml:space="preserve">. We provide </w:t>
      </w:r>
      <w:r w:rsidR="006D43E0" w:rsidRPr="009E74BC">
        <w:rPr>
          <w:rFonts w:ascii="Avenir LT Std 35 Light" w:hAnsi="Avenir LT Std 35 Light" w:cstheme="minorHAnsi"/>
          <w:sz w:val="22"/>
          <w:szCs w:val="22"/>
        </w:rPr>
        <w:t xml:space="preserve">the following </w:t>
      </w:r>
      <w:r w:rsidRPr="009E74BC">
        <w:rPr>
          <w:rFonts w:ascii="Avenir LT Std 35 Light" w:hAnsi="Avenir LT Std 35 Light" w:cstheme="minorHAnsi"/>
          <w:sz w:val="22"/>
          <w:szCs w:val="22"/>
        </w:rPr>
        <w:t xml:space="preserve">feedback </w:t>
      </w:r>
      <w:r w:rsidR="00CA17EC" w:rsidRPr="009E74BC">
        <w:rPr>
          <w:rFonts w:ascii="Avenir LT Std 35 Light" w:hAnsi="Avenir LT Std 35 Light" w:cstheme="minorHAnsi"/>
          <w:sz w:val="22"/>
          <w:szCs w:val="22"/>
        </w:rPr>
        <w:t xml:space="preserve">on </w:t>
      </w:r>
      <w:r w:rsidR="002B52C3" w:rsidRPr="009E74BC">
        <w:rPr>
          <w:rFonts w:ascii="Avenir LT Std 35 Light" w:hAnsi="Avenir LT Std 35 Light" w:cstheme="minorHAnsi"/>
          <w:sz w:val="22"/>
          <w:szCs w:val="22"/>
        </w:rPr>
        <w:t>the</w:t>
      </w:r>
      <w:r w:rsidR="009E1895" w:rsidRPr="009E74BC">
        <w:rPr>
          <w:rFonts w:ascii="Avenir LT Std 35 Light" w:hAnsi="Avenir LT Std 35 Light" w:cstheme="minorHAnsi"/>
          <w:sz w:val="22"/>
          <w:szCs w:val="22"/>
        </w:rPr>
        <w:t xml:space="preserve"> </w:t>
      </w:r>
      <w:r w:rsidR="00413525" w:rsidRPr="00413525">
        <w:rPr>
          <w:rFonts w:ascii="Avenir LT Std 35 Light" w:hAnsi="Avenir LT Std 35 Light" w:cstheme="minorHAnsi"/>
          <w:sz w:val="22"/>
          <w:szCs w:val="22"/>
        </w:rPr>
        <w:t>Exposure Draft 341 - Updating AASB 1060 to Align the Classification and Presentation Requirements with AASB 18</w:t>
      </w:r>
      <w:r w:rsidR="00413525">
        <w:rPr>
          <w:rFonts w:ascii="Avenir LT Std 35 Light" w:hAnsi="Avenir LT Std 35 Light" w:cstheme="minorHAnsi"/>
          <w:sz w:val="22"/>
          <w:szCs w:val="22"/>
        </w:rPr>
        <w:t xml:space="preserve"> (the ED).</w:t>
      </w:r>
    </w:p>
    <w:p w14:paraId="05F3B7EB" w14:textId="488D6ED9" w:rsidR="005322A4" w:rsidRDefault="007B3388" w:rsidP="001949A1">
      <w:pPr>
        <w:spacing w:before="240"/>
        <w:jc w:val="both"/>
        <w:rPr>
          <w:rFonts w:ascii="Avenir LT Std 35 Light" w:hAnsi="Avenir LT Std 35 Light" w:cstheme="minorHAnsi"/>
          <w:sz w:val="22"/>
          <w:szCs w:val="22"/>
        </w:rPr>
      </w:pPr>
      <w:r>
        <w:rPr>
          <w:rFonts w:ascii="Avenir LT Std 35 Light" w:hAnsi="Avenir LT Std 35 Light" w:cstheme="minorHAnsi"/>
          <w:sz w:val="22"/>
          <w:szCs w:val="22"/>
        </w:rPr>
        <w:t xml:space="preserve">We note that the ED only considers the classification and presentation requirements for Tier 2 entities and that the new disclosure requirements in AASB 18 including management-defined performance measures, will be considered separately. </w:t>
      </w:r>
      <w:r w:rsidR="0004695C">
        <w:rPr>
          <w:rFonts w:ascii="Avenir LT Std 35 Light" w:hAnsi="Avenir LT Std 35 Light" w:cstheme="minorHAnsi"/>
          <w:sz w:val="22"/>
          <w:szCs w:val="22"/>
        </w:rPr>
        <w:t>Overall, w</w:t>
      </w:r>
      <w:r w:rsidR="009204EF" w:rsidRPr="009204EF">
        <w:rPr>
          <w:rFonts w:ascii="Avenir LT Std 35 Light" w:hAnsi="Avenir LT Std 35 Light" w:cstheme="minorHAnsi"/>
          <w:sz w:val="22"/>
          <w:szCs w:val="22"/>
        </w:rPr>
        <w:t>e support the proposed alignment of the classification and presentation requirements for Tier 2 entities with AASB 18</w:t>
      </w:r>
      <w:r w:rsidR="00B3200A">
        <w:rPr>
          <w:rFonts w:ascii="Avenir LT Std 35 Light" w:hAnsi="Avenir LT Std 35 Light" w:cstheme="minorHAnsi"/>
          <w:sz w:val="22"/>
          <w:szCs w:val="22"/>
        </w:rPr>
        <w:t xml:space="preserve"> </w:t>
      </w:r>
      <w:r w:rsidR="00B3200A" w:rsidRPr="005C0F01">
        <w:rPr>
          <w:rFonts w:ascii="Avenir LT Std 35 Light" w:hAnsi="Avenir LT Std 35 Light" w:cstheme="minorHAnsi"/>
          <w:i/>
          <w:iCs/>
          <w:sz w:val="22"/>
          <w:szCs w:val="22"/>
        </w:rPr>
        <w:t>Presentation and Disclosure in Financial Statements</w:t>
      </w:r>
      <w:r w:rsidR="00B3200A">
        <w:rPr>
          <w:rFonts w:ascii="Avenir LT Std 35 Light" w:hAnsi="Avenir LT Std 35 Light" w:cstheme="minorHAnsi"/>
          <w:sz w:val="22"/>
          <w:szCs w:val="22"/>
        </w:rPr>
        <w:t xml:space="preserve"> (AASB 18)</w:t>
      </w:r>
      <w:r w:rsidR="009204EF" w:rsidRPr="009204EF">
        <w:rPr>
          <w:rFonts w:ascii="Avenir LT Std 35 Light" w:hAnsi="Avenir LT Std 35 Light" w:cstheme="minorHAnsi"/>
          <w:sz w:val="22"/>
          <w:szCs w:val="22"/>
        </w:rPr>
        <w:t>, which we consider will promote greater consistency and comparability between Tier 1 and Tier 2 financial statements.</w:t>
      </w:r>
      <w:r>
        <w:rPr>
          <w:rFonts w:ascii="Avenir LT Std 35 Light" w:hAnsi="Avenir LT Std 35 Light" w:cstheme="minorHAnsi"/>
          <w:sz w:val="22"/>
          <w:szCs w:val="22"/>
        </w:rPr>
        <w:t xml:space="preserve"> </w:t>
      </w:r>
    </w:p>
    <w:p w14:paraId="1F7393EB" w14:textId="2DB2779E" w:rsidR="000E0A7F" w:rsidRPr="00855F01" w:rsidRDefault="00FC34E5" w:rsidP="00855F01">
      <w:pPr>
        <w:spacing w:before="240"/>
        <w:jc w:val="both"/>
        <w:rPr>
          <w:rFonts w:ascii="Avenir LT Std 35 Light" w:hAnsi="Avenir LT Std 35 Light" w:cstheme="minorHAnsi"/>
          <w:sz w:val="22"/>
          <w:szCs w:val="22"/>
        </w:rPr>
      </w:pPr>
      <w:r>
        <w:rPr>
          <w:rFonts w:ascii="Avenir LT Std 35 Light" w:hAnsi="Avenir LT Std 35 Light" w:cstheme="minorHAnsi"/>
          <w:sz w:val="22"/>
          <w:szCs w:val="22"/>
        </w:rPr>
        <w:t xml:space="preserve">In our </w:t>
      </w:r>
      <w:hyperlink r:id="rId9" w:history="1">
        <w:r w:rsidRPr="00F42050">
          <w:rPr>
            <w:rStyle w:val="Hyperlink"/>
            <w:rFonts w:ascii="Avenir LT Std 35 Light" w:hAnsi="Avenir LT Std 35 Light" w:cstheme="minorHAnsi"/>
            <w:sz w:val="22"/>
            <w:szCs w:val="22"/>
          </w:rPr>
          <w:t>submission</w:t>
        </w:r>
      </w:hyperlink>
      <w:r>
        <w:rPr>
          <w:rFonts w:ascii="Avenir LT Std 35 Light" w:hAnsi="Avenir LT Std 35 Light" w:cstheme="minorHAnsi"/>
          <w:sz w:val="22"/>
          <w:szCs w:val="22"/>
        </w:rPr>
        <w:t xml:space="preserve"> in response to </w:t>
      </w:r>
      <w:r w:rsidR="004001BC">
        <w:rPr>
          <w:rFonts w:ascii="Avenir LT Std 35 Light" w:hAnsi="Avenir LT Std 35 Light" w:cstheme="minorHAnsi"/>
          <w:sz w:val="22"/>
          <w:szCs w:val="22"/>
        </w:rPr>
        <w:t>Exposure Draft 338</w:t>
      </w:r>
      <w:r>
        <w:rPr>
          <w:rFonts w:ascii="Avenir LT Std 35 Light" w:hAnsi="Avenir LT Std 35 Light" w:cstheme="minorHAnsi"/>
          <w:sz w:val="22"/>
          <w:szCs w:val="22"/>
        </w:rPr>
        <w:t xml:space="preserve"> </w:t>
      </w:r>
      <w:r w:rsidR="00855F01" w:rsidRPr="005C0F01">
        <w:rPr>
          <w:rFonts w:ascii="Avenir LT Std 35 Light" w:hAnsi="Avenir LT Std 35 Light" w:cstheme="minorHAnsi"/>
          <w:i/>
          <w:iCs/>
          <w:sz w:val="22"/>
          <w:szCs w:val="22"/>
        </w:rPr>
        <w:t>Application of AASB 18 and AASB 107 by Superannuation and Not-for-Profit Entities and Operating Cash Flow Reconciliation for entities preparing Tier 1 general purpose financial statements</w:t>
      </w:r>
      <w:r w:rsidR="00855F01">
        <w:rPr>
          <w:rFonts w:ascii="Avenir LT Std 35 Light" w:hAnsi="Avenir LT Std 35 Light" w:cstheme="minorHAnsi"/>
          <w:sz w:val="22"/>
          <w:szCs w:val="22"/>
        </w:rPr>
        <w:t xml:space="preserve"> (ED 338)</w:t>
      </w:r>
      <w:r w:rsidR="00806248">
        <w:rPr>
          <w:rFonts w:ascii="Avenir LT Std 35 Light" w:hAnsi="Avenir LT Std 35 Light" w:cstheme="minorHAnsi"/>
          <w:sz w:val="22"/>
          <w:szCs w:val="22"/>
        </w:rPr>
        <w:t>,</w:t>
      </w:r>
      <w:r w:rsidR="004001BC">
        <w:rPr>
          <w:rFonts w:ascii="Avenir LT Std 35 Light" w:hAnsi="Avenir LT Std 35 Light" w:cstheme="minorHAnsi"/>
          <w:sz w:val="22"/>
          <w:szCs w:val="22"/>
        </w:rPr>
        <w:t xml:space="preserve"> we expressed </w:t>
      </w:r>
      <w:r w:rsidR="001E0BF7">
        <w:rPr>
          <w:rFonts w:ascii="Avenir LT Std 35 Light" w:hAnsi="Avenir LT Std 35 Light" w:cstheme="minorHAnsi"/>
          <w:sz w:val="22"/>
          <w:szCs w:val="22"/>
        </w:rPr>
        <w:t>support to the application of AASB 18 requirements to Superannuation entities and not-for-profit (NFP) public sector entities</w:t>
      </w:r>
      <w:r w:rsidR="00BE484D">
        <w:rPr>
          <w:rFonts w:ascii="Avenir LT Std 35 Light" w:hAnsi="Avenir LT Std 35 Light" w:cstheme="minorHAnsi"/>
          <w:sz w:val="22"/>
          <w:szCs w:val="22"/>
        </w:rPr>
        <w:t xml:space="preserve">, in the context of Tier 1 General Purpose Financial </w:t>
      </w:r>
      <w:r w:rsidR="00237040">
        <w:rPr>
          <w:rFonts w:ascii="Avenir LT Std 35 Light" w:hAnsi="Avenir LT Std 35 Light" w:cstheme="minorHAnsi"/>
          <w:sz w:val="22"/>
          <w:szCs w:val="22"/>
        </w:rPr>
        <w:t>S</w:t>
      </w:r>
      <w:r w:rsidR="00BE484D">
        <w:rPr>
          <w:rFonts w:ascii="Avenir LT Std 35 Light" w:hAnsi="Avenir LT Std 35 Light" w:cstheme="minorHAnsi"/>
          <w:sz w:val="22"/>
          <w:szCs w:val="22"/>
        </w:rPr>
        <w:t>tatement</w:t>
      </w:r>
      <w:r w:rsidR="00237040">
        <w:rPr>
          <w:rFonts w:ascii="Avenir LT Std 35 Light" w:hAnsi="Avenir LT Std 35 Light" w:cstheme="minorHAnsi"/>
          <w:sz w:val="22"/>
          <w:szCs w:val="22"/>
        </w:rPr>
        <w:t>s (GPFS)</w:t>
      </w:r>
      <w:r w:rsidR="00BE484D">
        <w:rPr>
          <w:rFonts w:ascii="Avenir LT Std 35 Light" w:hAnsi="Avenir LT Std 35 Light" w:cstheme="minorHAnsi"/>
          <w:sz w:val="22"/>
          <w:szCs w:val="22"/>
        </w:rPr>
        <w:t xml:space="preserve"> preparation</w:t>
      </w:r>
      <w:r w:rsidR="001E0BF7">
        <w:rPr>
          <w:rFonts w:ascii="Avenir LT Std 35 Light" w:hAnsi="Avenir LT Std 35 Light" w:cstheme="minorHAnsi"/>
          <w:sz w:val="22"/>
          <w:szCs w:val="22"/>
        </w:rPr>
        <w:t xml:space="preserve">. </w:t>
      </w:r>
      <w:r w:rsidR="00011060">
        <w:rPr>
          <w:rFonts w:ascii="Avenir LT Std 35 Light" w:hAnsi="Avenir LT Std 35 Light" w:cstheme="minorHAnsi"/>
          <w:sz w:val="22"/>
          <w:szCs w:val="22"/>
        </w:rPr>
        <w:t xml:space="preserve">We expressed conditional support </w:t>
      </w:r>
      <w:r w:rsidR="00003238">
        <w:rPr>
          <w:rFonts w:ascii="Avenir LT Std 35 Light" w:hAnsi="Avenir LT Std 35 Light" w:cstheme="minorHAnsi"/>
          <w:sz w:val="22"/>
          <w:szCs w:val="22"/>
        </w:rPr>
        <w:t>to the application of AASB 18 requirements to NFP private sector entities, universities and for-profit public sector entities</w:t>
      </w:r>
      <w:r w:rsidR="00237040">
        <w:rPr>
          <w:rFonts w:ascii="Avenir LT Std 35 Light" w:hAnsi="Avenir LT Std 35 Light" w:cstheme="minorHAnsi"/>
          <w:sz w:val="22"/>
          <w:szCs w:val="22"/>
        </w:rPr>
        <w:t>, in the context of Tier 1 GPFS</w:t>
      </w:r>
      <w:r w:rsidR="00003238">
        <w:rPr>
          <w:rFonts w:ascii="Avenir LT Std 35 Light" w:hAnsi="Avenir LT Std 35 Light" w:cstheme="minorHAnsi"/>
          <w:sz w:val="22"/>
          <w:szCs w:val="22"/>
        </w:rPr>
        <w:t xml:space="preserve">. </w:t>
      </w:r>
      <w:r w:rsidR="00C406F4">
        <w:rPr>
          <w:rFonts w:ascii="Avenir LT Std 35 Light" w:hAnsi="Avenir LT Std 35 Light" w:cstheme="minorHAnsi"/>
          <w:sz w:val="22"/>
          <w:szCs w:val="22"/>
        </w:rPr>
        <w:t xml:space="preserve">For similar reasons stated in our submission to ED 338, </w:t>
      </w:r>
      <w:r w:rsidR="00EE2244">
        <w:rPr>
          <w:rFonts w:ascii="Avenir LT Std 35 Light" w:hAnsi="Avenir LT Std 35 Light" w:cstheme="minorHAnsi"/>
          <w:sz w:val="22"/>
          <w:szCs w:val="22"/>
        </w:rPr>
        <w:t xml:space="preserve">we maintain our support/conditional support </w:t>
      </w:r>
      <w:r w:rsidR="00842F99">
        <w:rPr>
          <w:rFonts w:ascii="Avenir LT Std 35 Light" w:hAnsi="Avenir LT Std 35 Light" w:cstheme="minorHAnsi"/>
          <w:sz w:val="22"/>
          <w:szCs w:val="22"/>
        </w:rPr>
        <w:t xml:space="preserve">where applicable </w:t>
      </w:r>
      <w:r w:rsidR="00E77021">
        <w:rPr>
          <w:rFonts w:ascii="Avenir LT Std 35 Light" w:hAnsi="Avenir LT Std 35 Light" w:cstheme="minorHAnsi"/>
          <w:sz w:val="22"/>
          <w:szCs w:val="22"/>
        </w:rPr>
        <w:t>for the same groups of entities, in the context of Tier 2 GPFS.</w:t>
      </w:r>
    </w:p>
    <w:p w14:paraId="34D67C7D" w14:textId="017C2ABD" w:rsidR="009204EF" w:rsidRDefault="009204EF" w:rsidP="001949A1">
      <w:pPr>
        <w:spacing w:before="240"/>
        <w:jc w:val="both"/>
        <w:rPr>
          <w:rFonts w:ascii="Avenir LT Std 35 Light" w:hAnsi="Avenir LT Std 35 Light" w:cstheme="minorHAnsi"/>
          <w:sz w:val="22"/>
          <w:szCs w:val="22"/>
        </w:rPr>
      </w:pPr>
      <w:r w:rsidRPr="009204EF">
        <w:rPr>
          <w:rFonts w:ascii="Avenir LT Std 35 Light" w:hAnsi="Avenir LT Std 35 Light" w:cstheme="minorHAnsi"/>
          <w:sz w:val="22"/>
          <w:szCs w:val="22"/>
        </w:rPr>
        <w:t>We encourage the AASB to provide appropriate implementation guidance and illustrative examples and to continue to consider developments relating to the application of AASB 18. We also highlight the need for robust impact and effects analysis and proactive engagement with regulators, particularly where statutory reporting frameworks require smaller entities to prepare Tier 2 GPFS.</w:t>
      </w:r>
    </w:p>
    <w:p w14:paraId="51EA6F2B" w14:textId="5057D792" w:rsidR="003949CA" w:rsidRPr="009204EF" w:rsidRDefault="00954BE0" w:rsidP="005F32F3">
      <w:pPr>
        <w:spacing w:before="240"/>
        <w:jc w:val="both"/>
        <w:rPr>
          <w:rFonts w:ascii="Avenir LT Std 35 Light" w:hAnsi="Avenir LT Std 35 Light" w:cstheme="minorHAnsi"/>
          <w:sz w:val="22"/>
          <w:szCs w:val="22"/>
        </w:rPr>
      </w:pPr>
      <w:r>
        <w:rPr>
          <w:rFonts w:ascii="Avenir LT Std 35 Light" w:hAnsi="Avenir LT Std 35 Light" w:cstheme="minorHAnsi"/>
          <w:sz w:val="22"/>
          <w:szCs w:val="22"/>
        </w:rPr>
        <w:t xml:space="preserve">In respect of smaller entities </w:t>
      </w:r>
      <w:r w:rsidR="00A54A16">
        <w:rPr>
          <w:rFonts w:ascii="Avenir LT Std 35 Light" w:hAnsi="Avenir LT Std 35 Light" w:cstheme="minorHAnsi"/>
          <w:sz w:val="22"/>
          <w:szCs w:val="22"/>
        </w:rPr>
        <w:t xml:space="preserve">that prepare Tier 2 GPFS, we reiterate the comments made in our </w:t>
      </w:r>
      <w:hyperlink r:id="rId10" w:history="1">
        <w:r w:rsidR="00A54A16" w:rsidRPr="00217CE7">
          <w:rPr>
            <w:rStyle w:val="Hyperlink"/>
            <w:rFonts w:ascii="Avenir LT Std 35 Light" w:hAnsi="Avenir LT Std 35 Light" w:cstheme="minorHAnsi"/>
            <w:sz w:val="22"/>
            <w:szCs w:val="22"/>
          </w:rPr>
          <w:t>submission</w:t>
        </w:r>
      </w:hyperlink>
      <w:r w:rsidR="00A54A16">
        <w:rPr>
          <w:rFonts w:ascii="Avenir LT Std 35 Light" w:hAnsi="Avenir LT Std 35 Light" w:cstheme="minorHAnsi"/>
          <w:sz w:val="22"/>
          <w:szCs w:val="22"/>
        </w:rPr>
        <w:t xml:space="preserve"> in response to ITC 56 - </w:t>
      </w:r>
      <w:r w:rsidR="005F32F3" w:rsidRPr="005C0F01">
        <w:rPr>
          <w:rFonts w:ascii="Avenir LT Std 35 Light" w:hAnsi="Avenir LT Std 35 Light" w:cstheme="minorHAnsi"/>
          <w:i/>
          <w:iCs/>
          <w:sz w:val="22"/>
          <w:szCs w:val="22"/>
        </w:rPr>
        <w:t>Post-implementation Review of Tier 2 and the Removal of Special Purpose Financial Statements for Certain For-Profit Private Sector Entities and Further Update of Tier 2</w:t>
      </w:r>
      <w:r w:rsidR="00682364">
        <w:rPr>
          <w:rFonts w:ascii="Avenir LT Std 35 Light" w:hAnsi="Avenir LT Std 35 Light" w:cstheme="minorHAnsi"/>
          <w:i/>
          <w:iCs/>
          <w:sz w:val="22"/>
          <w:szCs w:val="22"/>
        </w:rPr>
        <w:t xml:space="preserve"> </w:t>
      </w:r>
      <w:r w:rsidR="00682364">
        <w:rPr>
          <w:rFonts w:ascii="Avenir LT Std 35 Light" w:hAnsi="Avenir LT Std 35 Light" w:cstheme="minorHAnsi"/>
          <w:sz w:val="22"/>
          <w:szCs w:val="22"/>
        </w:rPr>
        <w:t>(ITC 56)</w:t>
      </w:r>
      <w:r w:rsidR="00E379F0">
        <w:rPr>
          <w:rFonts w:ascii="Avenir LT Std 35 Light" w:hAnsi="Avenir LT Std 35 Light" w:cstheme="minorHAnsi"/>
          <w:sz w:val="22"/>
          <w:szCs w:val="22"/>
        </w:rPr>
        <w:t xml:space="preserve">, </w:t>
      </w:r>
      <w:r w:rsidR="007C5007">
        <w:rPr>
          <w:rFonts w:ascii="Avenir LT Std 35 Light" w:hAnsi="Avenir LT Std 35 Light" w:cstheme="minorHAnsi"/>
          <w:sz w:val="22"/>
          <w:szCs w:val="22"/>
        </w:rPr>
        <w:t xml:space="preserve">that the AASB </w:t>
      </w:r>
      <w:r w:rsidR="007C5007">
        <w:rPr>
          <w:rFonts w:ascii="Avenir LT Std 35 Light" w:hAnsi="Avenir LT Std 35 Light" w:cstheme="minorHAnsi"/>
          <w:sz w:val="22"/>
          <w:szCs w:val="22"/>
        </w:rPr>
        <w:lastRenderedPageBreak/>
        <w:t xml:space="preserve">should consider a more nuanced and fit-for-approach </w:t>
      </w:r>
      <w:r w:rsidR="00983FD1">
        <w:rPr>
          <w:rFonts w:ascii="Avenir LT Std 35 Light" w:hAnsi="Avenir LT Std 35 Light" w:cstheme="minorHAnsi"/>
          <w:sz w:val="22"/>
          <w:szCs w:val="22"/>
        </w:rPr>
        <w:t xml:space="preserve">for the for-profit private sector that </w:t>
      </w:r>
      <w:r w:rsidR="00F44E29">
        <w:rPr>
          <w:rFonts w:ascii="Avenir LT Std 35 Light" w:hAnsi="Avenir LT Std 35 Light" w:cstheme="minorHAnsi"/>
          <w:sz w:val="22"/>
          <w:szCs w:val="22"/>
        </w:rPr>
        <w:t xml:space="preserve">could </w:t>
      </w:r>
      <w:r w:rsidR="00983FD1">
        <w:rPr>
          <w:rFonts w:ascii="Avenir LT Std 35 Light" w:hAnsi="Avenir LT Std 35 Light" w:cstheme="minorHAnsi"/>
          <w:sz w:val="22"/>
          <w:szCs w:val="22"/>
        </w:rPr>
        <w:t>include a further reporting Standard or framework that involves simplified recognition, measurement and disclosure requirements (a for-profit Tier 3 Standard).</w:t>
      </w:r>
    </w:p>
    <w:p w14:paraId="08B66060" w14:textId="3ACA03C5" w:rsidR="001949A1" w:rsidRDefault="00135823" w:rsidP="005C0F01">
      <w:pPr>
        <w:spacing w:before="240"/>
        <w:jc w:val="both"/>
        <w:rPr>
          <w:rFonts w:ascii="Avenir LT Std 35 Light" w:hAnsi="Avenir LT Std 35 Light" w:cstheme="minorHAnsi"/>
          <w:color w:val="002060"/>
          <w:sz w:val="22"/>
          <w:szCs w:val="22"/>
        </w:rPr>
      </w:pPr>
      <w:r w:rsidRPr="009E74BC">
        <w:rPr>
          <w:rFonts w:ascii="Avenir LT Std 35 Light" w:hAnsi="Avenir LT Std 35 Light" w:cstheme="minorHAnsi"/>
          <w:sz w:val="22"/>
          <w:szCs w:val="22"/>
        </w:rPr>
        <w:t xml:space="preserve">Further detail </w:t>
      </w:r>
      <w:r w:rsidR="00DC506E" w:rsidRPr="009E74BC">
        <w:rPr>
          <w:rFonts w:ascii="Avenir LT Std 35 Light" w:hAnsi="Avenir LT Std 35 Light" w:cstheme="minorHAnsi"/>
          <w:sz w:val="22"/>
          <w:szCs w:val="22"/>
        </w:rPr>
        <w:t xml:space="preserve">on </w:t>
      </w:r>
      <w:r w:rsidR="00642858" w:rsidRPr="009E74BC">
        <w:rPr>
          <w:rFonts w:ascii="Avenir LT Std 35 Light" w:hAnsi="Avenir LT Std 35 Light" w:cstheme="minorHAnsi"/>
          <w:sz w:val="22"/>
          <w:szCs w:val="22"/>
        </w:rPr>
        <w:t>our above comments</w:t>
      </w:r>
      <w:r w:rsidR="00737B0D" w:rsidRPr="009E74BC">
        <w:rPr>
          <w:rFonts w:ascii="Avenir LT Std 35 Light" w:hAnsi="Avenir LT Std 35 Light" w:cstheme="minorHAnsi"/>
          <w:sz w:val="22"/>
          <w:szCs w:val="22"/>
        </w:rPr>
        <w:t xml:space="preserve">, including </w:t>
      </w:r>
      <w:r w:rsidR="00F47972" w:rsidRPr="009E74BC">
        <w:rPr>
          <w:rFonts w:ascii="Avenir LT Std 35 Light" w:hAnsi="Avenir LT Std 35 Light" w:cstheme="minorHAnsi"/>
          <w:sz w:val="22"/>
          <w:szCs w:val="22"/>
        </w:rPr>
        <w:t xml:space="preserve">our responses </w:t>
      </w:r>
      <w:r w:rsidR="00F54A70" w:rsidRPr="009E74BC">
        <w:rPr>
          <w:rFonts w:ascii="Avenir LT Std 35 Light" w:hAnsi="Avenir LT Std 35 Light" w:cstheme="minorHAnsi"/>
          <w:sz w:val="22"/>
          <w:szCs w:val="22"/>
        </w:rPr>
        <w:t>are</w:t>
      </w:r>
      <w:r w:rsidR="000138FF" w:rsidRPr="009E74BC">
        <w:rPr>
          <w:rFonts w:ascii="Avenir LT Std 35 Light" w:hAnsi="Avenir LT Std 35 Light" w:cstheme="minorHAnsi"/>
          <w:sz w:val="22"/>
          <w:szCs w:val="22"/>
        </w:rPr>
        <w:t xml:space="preserve"> included in the </w:t>
      </w:r>
      <w:r w:rsidR="000C5897" w:rsidRPr="00B80AFD">
        <w:rPr>
          <w:rFonts w:ascii="Avenir LT Std 35 Light" w:hAnsi="Avenir LT Std 35 Light" w:cstheme="minorHAnsi"/>
          <w:sz w:val="22"/>
          <w:szCs w:val="22"/>
        </w:rPr>
        <w:t>Attachment</w:t>
      </w:r>
      <w:r w:rsidR="000138FF" w:rsidRPr="009E74BC">
        <w:rPr>
          <w:rFonts w:ascii="Avenir LT Std 35 Light" w:hAnsi="Avenir LT Std 35 Light" w:cstheme="minorHAnsi"/>
          <w:sz w:val="22"/>
          <w:szCs w:val="22"/>
        </w:rPr>
        <w:t>.</w:t>
      </w:r>
      <w:r w:rsidR="001005BC" w:rsidRPr="009E74BC">
        <w:rPr>
          <w:rFonts w:ascii="Avenir LT Std 35 Light" w:hAnsi="Avenir LT Std 35 Light" w:cstheme="minorHAnsi"/>
          <w:sz w:val="22"/>
          <w:szCs w:val="22"/>
        </w:rPr>
        <w:t xml:space="preserve"> </w:t>
      </w:r>
      <w:r w:rsidR="00F47972" w:rsidRPr="009E74BC">
        <w:rPr>
          <w:rFonts w:ascii="Avenir LT Std 35 Light" w:hAnsi="Avenir LT Std 35 Light" w:cstheme="minorHAnsi"/>
          <w:sz w:val="22"/>
          <w:szCs w:val="22"/>
        </w:rPr>
        <w:t>If you require further information, please contact</w:t>
      </w:r>
      <w:r w:rsidR="00AF0FCF" w:rsidRPr="009E74BC">
        <w:rPr>
          <w:rFonts w:ascii="Avenir LT Std 35 Light" w:hAnsi="Avenir LT Std 35 Light" w:cstheme="minorHAnsi"/>
          <w:sz w:val="22"/>
          <w:szCs w:val="22"/>
        </w:rPr>
        <w:t xml:space="preserve"> </w:t>
      </w:r>
      <w:r w:rsidR="000C5897" w:rsidRPr="009E74BC">
        <w:rPr>
          <w:rFonts w:ascii="Avenir LT Std 35 Light" w:hAnsi="Avenir LT Std 35 Light" w:cstheme="minorHAnsi"/>
          <w:sz w:val="22"/>
          <w:szCs w:val="22"/>
        </w:rPr>
        <w:t>me</w:t>
      </w:r>
      <w:r w:rsidR="00F54A70" w:rsidRPr="009E74BC">
        <w:rPr>
          <w:rFonts w:ascii="Avenir LT Std 35 Light" w:hAnsi="Avenir LT Std 35 Light" w:cstheme="minorHAnsi"/>
          <w:sz w:val="22"/>
          <w:szCs w:val="22"/>
        </w:rPr>
        <w:t xml:space="preserve"> at </w:t>
      </w:r>
      <w:hyperlink r:id="rId11" w:history="1">
        <w:r w:rsidR="00F54A70" w:rsidRPr="009E74BC">
          <w:rPr>
            <w:rStyle w:val="Hyperlink"/>
            <w:rFonts w:ascii="Avenir LT Std 35 Light" w:hAnsi="Avenir LT Std 35 Light" w:cstheme="minorHAnsi"/>
            <w:sz w:val="22"/>
            <w:szCs w:val="22"/>
          </w:rPr>
          <w:t>ram.subramanian@cpaaustralia.com.au</w:t>
        </w:r>
      </w:hyperlink>
      <w:r w:rsidR="00F54A70" w:rsidRPr="009E74BC">
        <w:rPr>
          <w:rFonts w:ascii="Avenir LT Std 35 Light" w:hAnsi="Avenir LT Std 35 Light" w:cstheme="minorHAnsi"/>
          <w:color w:val="002060"/>
          <w:sz w:val="22"/>
          <w:szCs w:val="22"/>
        </w:rPr>
        <w:t xml:space="preserve">. </w:t>
      </w:r>
    </w:p>
    <w:p w14:paraId="2164BE0A" w14:textId="77777777" w:rsidR="00DF16B0" w:rsidRPr="009E74BC" w:rsidRDefault="00DF16B0" w:rsidP="00B76A7A">
      <w:pPr>
        <w:spacing w:after="40" w:line="276" w:lineRule="auto"/>
        <w:jc w:val="both"/>
        <w:rPr>
          <w:rFonts w:ascii="Avenir LT Std 35 Light" w:hAnsi="Avenir LT Std 35 Light" w:cstheme="minorHAnsi"/>
          <w:b/>
          <w:bCs/>
          <w:sz w:val="22"/>
          <w:szCs w:val="22"/>
        </w:rPr>
      </w:pPr>
    </w:p>
    <w:p w14:paraId="3B985DB1" w14:textId="77777777" w:rsidR="009516EE" w:rsidRPr="009E74BC" w:rsidRDefault="009516EE" w:rsidP="003441D7">
      <w:pPr>
        <w:jc w:val="both"/>
        <w:rPr>
          <w:rFonts w:ascii="Avenir LT Std 35 Light" w:hAnsi="Avenir LT Std 35 Light" w:cstheme="minorHAnsi"/>
          <w:sz w:val="22"/>
          <w:szCs w:val="22"/>
        </w:rPr>
      </w:pPr>
      <w:r w:rsidRPr="009E74BC">
        <w:rPr>
          <w:rFonts w:ascii="Avenir LT Std 35 Light" w:hAnsi="Avenir LT Std 35 Light" w:cstheme="minorHAnsi"/>
          <w:sz w:val="22"/>
          <w:szCs w:val="22"/>
        </w:rPr>
        <w:t>Yours sincerely</w:t>
      </w:r>
    </w:p>
    <w:tbl>
      <w:tblPr>
        <w:tblStyle w:val="CAANZDefaulttable1"/>
        <w:tblW w:w="5108" w:type="dxa"/>
        <w:tblBorders>
          <w:top w:val="none" w:sz="0" w:space="0" w:color="auto"/>
          <w:bottom w:val="none" w:sz="0" w:space="0" w:color="auto"/>
          <w:insideH w:val="none" w:sz="0" w:space="0" w:color="auto"/>
          <w:insideV w:val="none" w:sz="0" w:space="0" w:color="auto"/>
        </w:tblBorders>
        <w:tblLook w:val="04A0" w:firstRow="1" w:lastRow="0" w:firstColumn="1" w:lastColumn="0" w:noHBand="0" w:noVBand="1"/>
      </w:tblPr>
      <w:tblGrid>
        <w:gridCol w:w="5108"/>
      </w:tblGrid>
      <w:tr w:rsidR="009516EE" w:rsidRPr="009E74BC" w14:paraId="5135CB42"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08"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65BD49C1" w14:textId="7F0E2CD8" w:rsidR="009516EE" w:rsidRPr="009E74BC" w:rsidRDefault="009516EE" w:rsidP="003441D7">
            <w:pPr>
              <w:spacing w:before="0" w:after="0"/>
              <w:ind w:left="0"/>
              <w:jc w:val="both"/>
              <w:rPr>
                <w:rFonts w:ascii="Avenir LT Std 35 Light" w:hAnsi="Avenir LT Std 35 Light"/>
                <w:b w:val="0"/>
                <w:noProof/>
              </w:rPr>
            </w:pPr>
          </w:p>
          <w:p w14:paraId="4C4448ED" w14:textId="4B13A590" w:rsidR="00284A4C" w:rsidRPr="009E74BC" w:rsidRDefault="00284A4C" w:rsidP="003441D7">
            <w:pPr>
              <w:spacing w:before="0" w:after="0"/>
              <w:ind w:left="0"/>
              <w:jc w:val="both"/>
              <w:rPr>
                <w:rFonts w:ascii="Avenir LT Std 35 Light" w:eastAsia="Times New Roman" w:hAnsi="Avenir LT Std 35 Light"/>
                <w:b w:val="0"/>
                <w:noProof/>
              </w:rPr>
            </w:pPr>
          </w:p>
          <w:p w14:paraId="3C4F0774" w14:textId="07ADAADC" w:rsidR="00284A4C" w:rsidRPr="009E74BC" w:rsidRDefault="00284A4C" w:rsidP="003441D7">
            <w:pPr>
              <w:spacing w:before="0" w:after="0"/>
              <w:ind w:left="0"/>
              <w:jc w:val="both"/>
              <w:rPr>
                <w:rFonts w:ascii="Avenir LT Std 35 Light" w:eastAsia="Times New Roman" w:hAnsi="Avenir LT Std 35 Light" w:cstheme="minorHAnsi"/>
                <w:sz w:val="22"/>
                <w:szCs w:val="22"/>
              </w:rPr>
            </w:pPr>
          </w:p>
          <w:p w14:paraId="79912B44" w14:textId="11721988" w:rsidR="00EE441B" w:rsidRPr="009E74BC" w:rsidRDefault="00EE441B" w:rsidP="003441D7">
            <w:pPr>
              <w:spacing w:before="0" w:after="0"/>
              <w:ind w:left="0"/>
              <w:jc w:val="both"/>
              <w:rPr>
                <w:rFonts w:ascii="Avenir LT Std 35 Light" w:eastAsia="Times New Roman" w:hAnsi="Avenir LT Std 35 Light" w:cstheme="minorHAnsi"/>
                <w:b w:val="0"/>
                <w:sz w:val="22"/>
                <w:szCs w:val="22"/>
              </w:rPr>
            </w:pPr>
          </w:p>
        </w:tc>
      </w:tr>
      <w:tr w:rsidR="009516EE" w:rsidRPr="009E74BC" w14:paraId="2D418A6E" w14:textId="77777777">
        <w:tc>
          <w:tcPr>
            <w:cnfStyle w:val="001000000000" w:firstRow="0" w:lastRow="0" w:firstColumn="1" w:lastColumn="0" w:oddVBand="0" w:evenVBand="0" w:oddHBand="0" w:evenHBand="0" w:firstRowFirstColumn="0" w:firstRowLastColumn="0" w:lastRowFirstColumn="0" w:lastRowLastColumn="0"/>
            <w:tcW w:w="5108" w:type="dxa"/>
          </w:tcPr>
          <w:p w14:paraId="17C3910D" w14:textId="29994470" w:rsidR="009516EE" w:rsidRPr="009E74BC" w:rsidRDefault="005E4703" w:rsidP="003441D7">
            <w:pPr>
              <w:spacing w:before="0" w:after="0" w:line="280" w:lineRule="exact"/>
              <w:ind w:left="0" w:right="0"/>
              <w:jc w:val="both"/>
              <w:rPr>
                <w:rFonts w:ascii="Avenir LT Std 35 Light" w:eastAsia="Times New Roman" w:hAnsi="Avenir LT Std 35 Light" w:cstheme="minorHAnsi"/>
                <w:b w:val="0"/>
                <w:bCs/>
                <w:sz w:val="22"/>
                <w:szCs w:val="22"/>
              </w:rPr>
            </w:pPr>
            <w:r w:rsidRPr="009E74BC">
              <w:rPr>
                <w:rFonts w:ascii="Avenir LT Std 35 Light" w:eastAsia="Times New Roman" w:hAnsi="Avenir LT Std 35 Light" w:cstheme="minorHAnsi"/>
                <w:bCs/>
                <w:sz w:val="22"/>
                <w:szCs w:val="22"/>
              </w:rPr>
              <w:t>Ram Subramanian</w:t>
            </w:r>
            <w:r w:rsidR="00F95B2F" w:rsidRPr="009E74BC">
              <w:rPr>
                <w:rFonts w:ascii="Avenir LT Std 35 Light" w:eastAsia="Times New Roman" w:hAnsi="Avenir LT Std 35 Light" w:cstheme="minorHAnsi"/>
                <w:bCs/>
                <w:sz w:val="22"/>
                <w:szCs w:val="22"/>
              </w:rPr>
              <w:t xml:space="preserve"> FCPA</w:t>
            </w:r>
          </w:p>
          <w:p w14:paraId="44A04CAE" w14:textId="1F15B687" w:rsidR="009516EE" w:rsidRPr="009E74BC" w:rsidRDefault="005E4703" w:rsidP="003441D7">
            <w:pPr>
              <w:spacing w:before="0" w:after="0" w:line="280" w:lineRule="exact"/>
              <w:ind w:left="0" w:right="0"/>
              <w:jc w:val="both"/>
              <w:rPr>
                <w:rFonts w:ascii="Avenir LT Std 35 Light" w:eastAsia="Times New Roman" w:hAnsi="Avenir LT Std 35 Light" w:cstheme="minorHAnsi"/>
                <w:bCs/>
                <w:sz w:val="22"/>
                <w:szCs w:val="22"/>
              </w:rPr>
            </w:pPr>
            <w:r w:rsidRPr="009E74BC">
              <w:rPr>
                <w:rFonts w:ascii="Avenir LT Std 35 Light" w:eastAsia="Times New Roman" w:hAnsi="Avenir LT Std 35 Light" w:cstheme="minorHAnsi"/>
                <w:bCs/>
                <w:sz w:val="22"/>
                <w:szCs w:val="22"/>
              </w:rPr>
              <w:t>Financial Reporting Lead</w:t>
            </w:r>
          </w:p>
          <w:p w14:paraId="54AA8873" w14:textId="220AF481" w:rsidR="009516EE" w:rsidRPr="009E74BC" w:rsidRDefault="009516EE" w:rsidP="003441D7">
            <w:pPr>
              <w:spacing w:before="0" w:after="0" w:line="280" w:lineRule="exact"/>
              <w:ind w:left="0" w:right="0"/>
              <w:jc w:val="both"/>
              <w:rPr>
                <w:rFonts w:ascii="Avenir LT Std 35 Light" w:eastAsia="Arial" w:hAnsi="Avenir LT Std 35 Light" w:cstheme="minorHAnsi"/>
                <w:b w:val="0"/>
                <w:bCs/>
                <w:sz w:val="22"/>
                <w:szCs w:val="22"/>
              </w:rPr>
            </w:pPr>
            <w:r w:rsidRPr="009E74BC">
              <w:rPr>
                <w:rFonts w:ascii="Avenir LT Std 35 Light" w:eastAsia="Times New Roman" w:hAnsi="Avenir LT Std 35 Light" w:cstheme="minorHAnsi"/>
                <w:bCs/>
                <w:sz w:val="22"/>
                <w:szCs w:val="22"/>
              </w:rPr>
              <w:t>CPA Australia</w:t>
            </w:r>
          </w:p>
        </w:tc>
      </w:tr>
    </w:tbl>
    <w:p w14:paraId="10C6B9F9" w14:textId="1E69363A" w:rsidR="00DF16B0" w:rsidRPr="009E74BC" w:rsidRDefault="00DF16B0">
      <w:pPr>
        <w:rPr>
          <w:rFonts w:ascii="Avenir LT Std 35 Light" w:hAnsi="Avenir LT Std 35 Light"/>
          <w:b/>
          <w:bCs/>
          <w:color w:val="002060"/>
          <w:sz w:val="32"/>
          <w:szCs w:val="32"/>
        </w:rPr>
      </w:pPr>
    </w:p>
    <w:p w14:paraId="45520BC3" w14:textId="77777777" w:rsidR="00DF16B0" w:rsidRPr="009E74BC" w:rsidRDefault="00DF16B0">
      <w:pPr>
        <w:rPr>
          <w:rFonts w:ascii="Avenir LT Std 35 Light" w:hAnsi="Avenir LT Std 35 Light"/>
          <w:b/>
          <w:bCs/>
          <w:color w:val="002060"/>
          <w:sz w:val="32"/>
          <w:szCs w:val="32"/>
        </w:rPr>
      </w:pPr>
      <w:r w:rsidRPr="009E74BC">
        <w:rPr>
          <w:rFonts w:ascii="Avenir LT Std 35 Light" w:hAnsi="Avenir LT Std 35 Light"/>
          <w:b/>
          <w:bCs/>
          <w:color w:val="002060"/>
          <w:sz w:val="32"/>
          <w:szCs w:val="32"/>
        </w:rPr>
        <w:br w:type="page"/>
      </w:r>
    </w:p>
    <w:p w14:paraId="0B595144" w14:textId="72D4177C" w:rsidR="0033105E" w:rsidRDefault="009516EE" w:rsidP="00413525">
      <w:pPr>
        <w:pStyle w:val="Heading1"/>
        <w:rPr>
          <w:rFonts w:ascii="Avenir LT Std 35 Light" w:hAnsi="Avenir LT Std 35 Light"/>
          <w:sz w:val="22"/>
          <w:szCs w:val="22"/>
        </w:rPr>
      </w:pPr>
      <w:r w:rsidRPr="009E74BC">
        <w:rPr>
          <w:rFonts w:ascii="Avenir LT Std 35 Light" w:hAnsi="Avenir LT Std 35 Light"/>
          <w:sz w:val="32"/>
          <w:szCs w:val="24"/>
        </w:rPr>
        <w:lastRenderedPageBreak/>
        <w:t>ATTACHMENT</w:t>
      </w:r>
      <w:r w:rsidR="000276D0" w:rsidRPr="009E74BC">
        <w:rPr>
          <w:rFonts w:ascii="Avenir LT Std 35 Light" w:hAnsi="Avenir LT Std 35 Light"/>
          <w:sz w:val="32"/>
          <w:szCs w:val="24"/>
        </w:rPr>
        <w:t xml:space="preserve"> – CPA AUSTRALIA’S RESPONSES</w:t>
      </w:r>
      <w:r w:rsidR="00445669" w:rsidRPr="009E74BC" w:rsidDel="00445669">
        <w:rPr>
          <w:rFonts w:ascii="Avenir LT Std 35 Light" w:hAnsi="Avenir LT Std 35 Light"/>
          <w:sz w:val="22"/>
          <w:szCs w:val="22"/>
          <w:highlight w:val="yellow"/>
        </w:rPr>
        <w:t xml:space="preserve"> </w:t>
      </w:r>
    </w:p>
    <w:p w14:paraId="79174C36" w14:textId="5BA05035" w:rsidR="00B55B7E" w:rsidRDefault="00B55B7E" w:rsidP="0084372E">
      <w:pPr>
        <w:pStyle w:val="Subhead"/>
        <w:rPr>
          <w:lang w:val="en-US"/>
        </w:rPr>
      </w:pPr>
      <w:r w:rsidRPr="00B55B7E">
        <w:rPr>
          <w:lang w:val="en-US"/>
        </w:rPr>
        <w:t>Specific matters for comment</w:t>
      </w:r>
    </w:p>
    <w:p w14:paraId="12D94A4A" w14:textId="3601555E" w:rsidR="0084372E" w:rsidRPr="00B55B7E" w:rsidRDefault="0084372E" w:rsidP="00B55B7E">
      <w:pPr>
        <w:pStyle w:val="BodyCopy"/>
        <w:rPr>
          <w:lang w:val="en-US" w:bidi="ar-SA"/>
        </w:rPr>
      </w:pPr>
      <w:r w:rsidRPr="0084372E">
        <w:rPr>
          <w:lang w:val="en-US" w:bidi="ar-SA"/>
        </w:rPr>
        <w:t>The AASB would particularly value comments on the following:</w:t>
      </w:r>
    </w:p>
    <w:tbl>
      <w:tblPr>
        <w:tblStyle w:val="TableGrid"/>
        <w:tblW w:w="0" w:type="auto"/>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ook w:val="04A0" w:firstRow="1" w:lastRow="0" w:firstColumn="1" w:lastColumn="0" w:noHBand="0" w:noVBand="1"/>
      </w:tblPr>
      <w:tblGrid>
        <w:gridCol w:w="10450"/>
      </w:tblGrid>
      <w:tr w:rsidR="0033105E" w:rsidRPr="00881C6E" w14:paraId="35361AFD" w14:textId="77777777">
        <w:tc>
          <w:tcPr>
            <w:tcW w:w="10450" w:type="dxa"/>
          </w:tcPr>
          <w:p w14:paraId="7AD72E49" w14:textId="17291C1F" w:rsidR="00746C5C" w:rsidRPr="00881C6E" w:rsidRDefault="00746C5C" w:rsidP="00746C5C">
            <w:pPr>
              <w:spacing w:before="240" w:after="240"/>
              <w:jc w:val="both"/>
              <w:rPr>
                <w:rFonts w:ascii="Avenir LT Std 35 Light" w:hAnsi="Avenir LT Std 35 Light"/>
                <w:b/>
                <w:bCs/>
                <w:sz w:val="22"/>
                <w:szCs w:val="22"/>
              </w:rPr>
            </w:pPr>
            <w:r w:rsidRPr="00881C6E">
              <w:rPr>
                <w:rFonts w:ascii="Avenir LT Std 35 Light" w:hAnsi="Avenir LT Std 35 Light"/>
                <w:b/>
                <w:bCs/>
                <w:sz w:val="22"/>
                <w:szCs w:val="22"/>
              </w:rPr>
              <w:t>1</w:t>
            </w:r>
            <w:r w:rsidR="005160F9" w:rsidRPr="00881C6E">
              <w:rPr>
                <w:rFonts w:ascii="Avenir LT Std 35 Light" w:hAnsi="Avenir LT Std 35 Light"/>
                <w:b/>
                <w:bCs/>
                <w:sz w:val="22"/>
                <w:szCs w:val="22"/>
              </w:rPr>
              <w:t>)</w:t>
            </w:r>
            <w:r w:rsidRPr="00881C6E">
              <w:rPr>
                <w:rFonts w:ascii="Avenir LT Std 35 Light" w:hAnsi="Avenir LT Std 35 Light"/>
                <w:b/>
                <w:bCs/>
                <w:sz w:val="22"/>
                <w:szCs w:val="22"/>
              </w:rPr>
              <w:t xml:space="preserve"> Do you agree that Tier 2 entities should be subject to the same classification and presentation requirements, including aggregation requirements, for the financial statements as Tier 1 entities, except for the current concessions of: </w:t>
            </w:r>
          </w:p>
          <w:p w14:paraId="2C17AB4B" w14:textId="77777777" w:rsidR="00746C5C" w:rsidRPr="00881C6E" w:rsidRDefault="00746C5C" w:rsidP="00746C5C">
            <w:pPr>
              <w:spacing w:before="240" w:after="240"/>
              <w:jc w:val="both"/>
              <w:rPr>
                <w:rFonts w:ascii="Avenir LT Std 35 Light" w:hAnsi="Avenir LT Std 35 Light"/>
                <w:b/>
                <w:bCs/>
                <w:sz w:val="22"/>
                <w:szCs w:val="22"/>
              </w:rPr>
            </w:pPr>
            <w:r w:rsidRPr="00881C6E">
              <w:rPr>
                <w:rFonts w:ascii="Avenir LT Std 35 Light" w:hAnsi="Avenir LT Std 35 Light"/>
                <w:b/>
                <w:bCs/>
                <w:sz w:val="22"/>
                <w:szCs w:val="22"/>
              </w:rPr>
              <w:t xml:space="preserve">(a) not having to present a third statement of financial position when the entity has applied an accounting policy retrospectively, made a retrospective restatement of items in the financial statements or reclassified items in its financial statements; and </w:t>
            </w:r>
          </w:p>
          <w:p w14:paraId="231330FE" w14:textId="77777777" w:rsidR="00746C5C" w:rsidRPr="00881C6E" w:rsidRDefault="00746C5C" w:rsidP="00746C5C">
            <w:pPr>
              <w:spacing w:before="240" w:after="240"/>
              <w:jc w:val="both"/>
              <w:rPr>
                <w:rFonts w:ascii="Avenir LT Std 35 Light" w:hAnsi="Avenir LT Std 35 Light"/>
                <w:b/>
                <w:bCs/>
                <w:sz w:val="22"/>
                <w:szCs w:val="22"/>
              </w:rPr>
            </w:pPr>
            <w:r w:rsidRPr="00881C6E">
              <w:rPr>
                <w:rFonts w:ascii="Avenir LT Std 35 Light" w:hAnsi="Avenir LT Std 35 Light"/>
                <w:b/>
                <w:bCs/>
                <w:sz w:val="22"/>
                <w:szCs w:val="22"/>
              </w:rPr>
              <w:t xml:space="preserve">(b) the option to present a statement of income and retained earnings in place of a separate statement of comprehensive income and a statement of changes in equity under certain circumstances? </w:t>
            </w:r>
          </w:p>
          <w:p w14:paraId="27990A8A" w14:textId="324B4476" w:rsidR="0033105E" w:rsidRPr="00881C6E" w:rsidRDefault="00746C5C" w:rsidP="00746C5C">
            <w:pPr>
              <w:spacing w:before="240" w:after="240"/>
              <w:jc w:val="both"/>
              <w:rPr>
                <w:rFonts w:ascii="Avenir LT Std 35 Light" w:hAnsi="Avenir LT Std 35 Light"/>
                <w:b/>
                <w:bCs/>
                <w:sz w:val="22"/>
                <w:szCs w:val="22"/>
              </w:rPr>
            </w:pPr>
            <w:r w:rsidRPr="00881C6E">
              <w:rPr>
                <w:rFonts w:ascii="Avenir LT Std 35 Light" w:hAnsi="Avenir LT Std 35 Light"/>
                <w:b/>
                <w:bCs/>
                <w:sz w:val="22"/>
                <w:szCs w:val="22"/>
              </w:rPr>
              <w:t>If you disagree, please explain why.</w:t>
            </w:r>
          </w:p>
        </w:tc>
      </w:tr>
    </w:tbl>
    <w:p w14:paraId="6F1E2B3F" w14:textId="77777777" w:rsidR="002B39B3" w:rsidRDefault="000C721C" w:rsidP="00A17657">
      <w:pPr>
        <w:pStyle w:val="Subhead"/>
        <w:jc w:val="both"/>
        <w:rPr>
          <w:rFonts w:eastAsiaTheme="minorHAnsi" w:cstheme="minorHAnsi"/>
          <w:b w:val="0"/>
          <w:sz w:val="22"/>
          <w:szCs w:val="22"/>
          <w:lang w:bidi="ar-SA"/>
        </w:rPr>
      </w:pPr>
      <w:r w:rsidRPr="000C721C">
        <w:rPr>
          <w:rFonts w:eastAsiaTheme="minorHAnsi" w:cstheme="minorHAnsi"/>
          <w:b w:val="0"/>
          <w:sz w:val="22"/>
          <w:szCs w:val="22"/>
          <w:lang w:bidi="ar-SA"/>
        </w:rPr>
        <w:t xml:space="preserve">We agree that Tier 2 entities should generally be subject to the same classification and presentation requirements, including aggregation requirements, as Tier 1 entities, while retaining the existing Tier 2 concessions identified in the proposal. </w:t>
      </w:r>
    </w:p>
    <w:p w14:paraId="707EF51C" w14:textId="70FC22CE" w:rsidR="0052631C" w:rsidRDefault="000C721C" w:rsidP="00A17657">
      <w:pPr>
        <w:pStyle w:val="Subhead"/>
        <w:jc w:val="both"/>
        <w:rPr>
          <w:rFonts w:eastAsiaTheme="minorHAnsi" w:cstheme="minorHAnsi"/>
          <w:b w:val="0"/>
          <w:sz w:val="22"/>
          <w:szCs w:val="22"/>
          <w:lang w:bidi="ar-SA"/>
        </w:rPr>
      </w:pPr>
      <w:r w:rsidRPr="000C721C">
        <w:rPr>
          <w:rFonts w:eastAsiaTheme="minorHAnsi" w:cstheme="minorHAnsi"/>
          <w:b w:val="0"/>
          <w:sz w:val="22"/>
          <w:szCs w:val="22"/>
          <w:lang w:bidi="ar-SA"/>
        </w:rPr>
        <w:t xml:space="preserve">However, </w:t>
      </w:r>
      <w:r w:rsidR="0052631C">
        <w:rPr>
          <w:rFonts w:eastAsiaTheme="minorHAnsi" w:cstheme="minorHAnsi"/>
          <w:b w:val="0"/>
          <w:sz w:val="22"/>
          <w:szCs w:val="22"/>
          <w:lang w:bidi="ar-SA"/>
        </w:rPr>
        <w:t xml:space="preserve">as noted in our cover letter above and in our response to Question 5 below, </w:t>
      </w:r>
      <w:r w:rsidR="00337097">
        <w:rPr>
          <w:rFonts w:eastAsiaTheme="minorHAnsi" w:cstheme="minorHAnsi"/>
          <w:b w:val="0"/>
          <w:sz w:val="22"/>
          <w:szCs w:val="22"/>
          <w:lang w:bidi="ar-SA"/>
        </w:rPr>
        <w:t xml:space="preserve">whilst we offer our overall support to the proposals, </w:t>
      </w:r>
      <w:r w:rsidR="00C31B11">
        <w:rPr>
          <w:rFonts w:eastAsiaTheme="minorHAnsi" w:cstheme="minorHAnsi"/>
          <w:b w:val="0"/>
          <w:sz w:val="22"/>
          <w:szCs w:val="22"/>
          <w:lang w:bidi="ar-SA"/>
        </w:rPr>
        <w:t xml:space="preserve">we offer conditional support to the proposals </w:t>
      </w:r>
      <w:r w:rsidR="009376A8">
        <w:rPr>
          <w:rFonts w:eastAsiaTheme="minorHAnsi" w:cstheme="minorHAnsi"/>
          <w:b w:val="0"/>
          <w:sz w:val="22"/>
          <w:szCs w:val="22"/>
          <w:lang w:bidi="ar-SA"/>
        </w:rPr>
        <w:t>around applying the AASB 1</w:t>
      </w:r>
      <w:r w:rsidR="00623CD2">
        <w:rPr>
          <w:rFonts w:eastAsiaTheme="minorHAnsi" w:cstheme="minorHAnsi"/>
          <w:b w:val="0"/>
          <w:sz w:val="22"/>
          <w:szCs w:val="22"/>
          <w:lang w:bidi="ar-SA"/>
        </w:rPr>
        <w:t>8</w:t>
      </w:r>
      <w:r w:rsidR="009376A8">
        <w:rPr>
          <w:rFonts w:eastAsiaTheme="minorHAnsi" w:cstheme="minorHAnsi"/>
          <w:b w:val="0"/>
          <w:sz w:val="22"/>
          <w:szCs w:val="22"/>
          <w:lang w:bidi="ar-SA"/>
        </w:rPr>
        <w:t xml:space="preserve"> classification and presentation requirements by NFP private sector entities (excluding universities). </w:t>
      </w:r>
      <w:r w:rsidR="000C5E25">
        <w:rPr>
          <w:rFonts w:eastAsiaTheme="minorHAnsi" w:cstheme="minorHAnsi"/>
          <w:b w:val="0"/>
          <w:sz w:val="22"/>
          <w:szCs w:val="22"/>
          <w:lang w:bidi="ar-SA"/>
        </w:rPr>
        <w:t xml:space="preserve">This conditional support reflects the mixed feedback we received from our stakeholders as part of our outreach on ED 338 and </w:t>
      </w:r>
      <w:r w:rsidR="00857B2A">
        <w:rPr>
          <w:rFonts w:eastAsiaTheme="minorHAnsi" w:cstheme="minorHAnsi"/>
          <w:b w:val="0"/>
          <w:sz w:val="22"/>
          <w:szCs w:val="22"/>
          <w:lang w:bidi="ar-SA"/>
        </w:rPr>
        <w:t xml:space="preserve">includes a recommendation for a post-implementation review </w:t>
      </w:r>
      <w:r w:rsidR="00744216">
        <w:rPr>
          <w:rFonts w:eastAsiaTheme="minorHAnsi" w:cstheme="minorHAnsi"/>
          <w:b w:val="0"/>
          <w:sz w:val="22"/>
          <w:szCs w:val="22"/>
          <w:lang w:bidi="ar-SA"/>
        </w:rPr>
        <w:t>to reassess the costs and benefits of applying the requirements to these entities.</w:t>
      </w:r>
    </w:p>
    <w:p w14:paraId="26B3AE9E" w14:textId="72FF7A86" w:rsidR="000C721C" w:rsidRDefault="00744216" w:rsidP="00A17657">
      <w:pPr>
        <w:pStyle w:val="Subhead"/>
        <w:jc w:val="both"/>
        <w:rPr>
          <w:rFonts w:eastAsiaTheme="minorHAnsi" w:cstheme="minorHAnsi"/>
          <w:b w:val="0"/>
          <w:sz w:val="22"/>
          <w:szCs w:val="22"/>
          <w:lang w:bidi="ar-SA"/>
        </w:rPr>
      </w:pPr>
      <w:r>
        <w:rPr>
          <w:rFonts w:eastAsiaTheme="minorHAnsi" w:cstheme="minorHAnsi"/>
          <w:b w:val="0"/>
          <w:sz w:val="22"/>
          <w:szCs w:val="22"/>
          <w:lang w:bidi="ar-SA"/>
        </w:rPr>
        <w:t>W</w:t>
      </w:r>
      <w:r w:rsidR="000C721C" w:rsidRPr="000C721C">
        <w:rPr>
          <w:rFonts w:eastAsiaTheme="minorHAnsi" w:cstheme="minorHAnsi"/>
          <w:b w:val="0"/>
          <w:sz w:val="22"/>
          <w:szCs w:val="22"/>
          <w:lang w:bidi="ar-SA"/>
        </w:rPr>
        <w:t xml:space="preserve">e </w:t>
      </w:r>
      <w:r w:rsidR="00D75582">
        <w:rPr>
          <w:rFonts w:eastAsiaTheme="minorHAnsi" w:cstheme="minorHAnsi"/>
          <w:b w:val="0"/>
          <w:sz w:val="22"/>
          <w:szCs w:val="22"/>
          <w:lang w:bidi="ar-SA"/>
        </w:rPr>
        <w:t xml:space="preserve">also </w:t>
      </w:r>
      <w:r w:rsidR="000C721C" w:rsidRPr="000C721C">
        <w:rPr>
          <w:rFonts w:eastAsiaTheme="minorHAnsi" w:cstheme="minorHAnsi"/>
          <w:b w:val="0"/>
          <w:sz w:val="22"/>
          <w:szCs w:val="22"/>
          <w:lang w:bidi="ar-SA"/>
        </w:rPr>
        <w:t>consider that alignment with Tier 1 should not preclude the AASB from monitoring the application of the requirements and, through future review processes, considering whether further Tier 2-specific reliefs or simplifications may be appropriate, having regard to user needs, the characteristics of Tier 2 entities and the costs and benefits of the requirements.</w:t>
      </w:r>
    </w:p>
    <w:p w14:paraId="2CE56935" w14:textId="462C643E" w:rsidR="001A08B1" w:rsidRDefault="001A08B1" w:rsidP="00A17657">
      <w:pPr>
        <w:pStyle w:val="Subhead"/>
        <w:jc w:val="both"/>
        <w:rPr>
          <w:rFonts w:eastAsiaTheme="minorHAnsi" w:cstheme="minorHAnsi"/>
          <w:b w:val="0"/>
          <w:sz w:val="22"/>
          <w:szCs w:val="22"/>
          <w:lang w:bidi="ar-SA"/>
        </w:rPr>
      </w:pPr>
      <w:r>
        <w:rPr>
          <w:rFonts w:eastAsiaTheme="minorHAnsi" w:cstheme="minorHAnsi"/>
          <w:b w:val="0"/>
          <w:sz w:val="22"/>
          <w:szCs w:val="22"/>
          <w:lang w:bidi="ar-SA"/>
        </w:rPr>
        <w:t xml:space="preserve">Subject to the above and as </w:t>
      </w:r>
      <w:r w:rsidR="00232359" w:rsidRPr="00232359">
        <w:rPr>
          <w:rFonts w:eastAsiaTheme="minorHAnsi" w:cstheme="minorHAnsi"/>
          <w:b w:val="0"/>
          <w:sz w:val="22"/>
          <w:szCs w:val="22"/>
          <w:lang w:bidi="ar-SA"/>
        </w:rPr>
        <w:t xml:space="preserve">stated in our </w:t>
      </w:r>
      <w:r w:rsidR="002654DB">
        <w:rPr>
          <w:rFonts w:eastAsiaTheme="minorHAnsi" w:cstheme="minorHAnsi"/>
          <w:b w:val="0"/>
          <w:sz w:val="22"/>
          <w:szCs w:val="22"/>
          <w:lang w:bidi="ar-SA"/>
        </w:rPr>
        <w:t xml:space="preserve">previous </w:t>
      </w:r>
      <w:r w:rsidR="00813762">
        <w:rPr>
          <w:rFonts w:eastAsiaTheme="minorHAnsi" w:cstheme="minorHAnsi"/>
          <w:b w:val="0"/>
          <w:sz w:val="22"/>
          <w:szCs w:val="22"/>
          <w:lang w:bidi="ar-SA"/>
        </w:rPr>
        <w:t>submission</w:t>
      </w:r>
      <w:r w:rsidR="007F439D">
        <w:rPr>
          <w:rFonts w:eastAsiaTheme="minorHAnsi" w:cstheme="minorHAnsi"/>
          <w:b w:val="0"/>
          <w:sz w:val="22"/>
          <w:szCs w:val="22"/>
          <w:lang w:bidi="ar-SA"/>
        </w:rPr>
        <w:t>s to ITC 56</w:t>
      </w:r>
      <w:r w:rsidR="00682364">
        <w:rPr>
          <w:rFonts w:eastAsiaTheme="minorHAnsi" w:cstheme="minorHAnsi"/>
          <w:b w:val="0"/>
          <w:sz w:val="22"/>
          <w:szCs w:val="22"/>
          <w:lang w:bidi="ar-SA"/>
        </w:rPr>
        <w:t xml:space="preserve"> and ED 338, and our </w:t>
      </w:r>
      <w:r w:rsidR="00DF0322">
        <w:rPr>
          <w:rFonts w:eastAsiaTheme="minorHAnsi" w:cstheme="minorHAnsi"/>
          <w:b w:val="0"/>
          <w:sz w:val="22"/>
          <w:szCs w:val="22"/>
          <w:lang w:bidi="ar-SA"/>
        </w:rPr>
        <w:t xml:space="preserve">supplementary </w:t>
      </w:r>
      <w:hyperlink r:id="rId12" w:history="1">
        <w:r w:rsidR="00DF0322" w:rsidRPr="007E1B44">
          <w:rPr>
            <w:rStyle w:val="Hyperlink"/>
            <w:rFonts w:eastAsiaTheme="minorHAnsi" w:cstheme="minorHAnsi"/>
            <w:b w:val="0"/>
            <w:sz w:val="22"/>
            <w:szCs w:val="22"/>
            <w:lang w:bidi="ar-SA"/>
          </w:rPr>
          <w:t>submission</w:t>
        </w:r>
      </w:hyperlink>
      <w:r w:rsidR="00DF0322">
        <w:rPr>
          <w:rFonts w:eastAsiaTheme="minorHAnsi" w:cstheme="minorHAnsi"/>
          <w:b w:val="0"/>
          <w:sz w:val="22"/>
          <w:szCs w:val="22"/>
          <w:lang w:bidi="ar-SA"/>
        </w:rPr>
        <w:t xml:space="preserve"> on the application of AASB 18 on specific income categorisation requirements</w:t>
      </w:r>
      <w:r w:rsidR="007E1B44">
        <w:rPr>
          <w:rFonts w:eastAsiaTheme="minorHAnsi" w:cstheme="minorHAnsi"/>
          <w:b w:val="0"/>
          <w:sz w:val="22"/>
          <w:szCs w:val="22"/>
          <w:lang w:bidi="ar-SA"/>
        </w:rPr>
        <w:t xml:space="preserve"> by NFP private sector entities, </w:t>
      </w:r>
      <w:r w:rsidR="00FE4F2A" w:rsidRPr="00FE4F2A">
        <w:rPr>
          <w:rFonts w:eastAsiaTheme="minorHAnsi" w:cstheme="minorHAnsi"/>
          <w:b w:val="0"/>
          <w:sz w:val="22"/>
          <w:szCs w:val="22"/>
          <w:lang w:bidi="ar-SA"/>
        </w:rPr>
        <w:t>we support replacing the AASB 101 classification and presentation requirements in AASB 1060 with the corresponding AASB 18 requirements</w:t>
      </w:r>
      <w:r w:rsidR="00497BCD">
        <w:rPr>
          <w:rFonts w:eastAsiaTheme="minorHAnsi" w:cstheme="minorHAnsi"/>
          <w:b w:val="0"/>
          <w:sz w:val="22"/>
          <w:szCs w:val="22"/>
          <w:lang w:bidi="ar-SA"/>
        </w:rPr>
        <w:t>,</w:t>
      </w:r>
      <w:r w:rsidR="00FE4F2A" w:rsidRPr="00FE4F2A">
        <w:rPr>
          <w:rFonts w:eastAsiaTheme="minorHAnsi" w:cstheme="minorHAnsi"/>
          <w:b w:val="0"/>
          <w:sz w:val="22"/>
          <w:szCs w:val="22"/>
          <w:lang w:bidi="ar-SA"/>
        </w:rPr>
        <w:t xml:space="preserve"> to promote consistency between Tier 1 and Tier 2 entities, including application of the core AASB 18 classification framework to NFP entities.</w:t>
      </w:r>
    </w:p>
    <w:p w14:paraId="4787B05D" w14:textId="6746BA22" w:rsidR="003901E7" w:rsidRDefault="00FE4F2A" w:rsidP="00A17657">
      <w:pPr>
        <w:pStyle w:val="Subhead"/>
        <w:jc w:val="both"/>
        <w:rPr>
          <w:rFonts w:eastAsiaTheme="minorHAnsi" w:cstheme="minorHAnsi"/>
          <w:b w:val="0"/>
          <w:sz w:val="22"/>
          <w:szCs w:val="22"/>
          <w:lang w:bidi="ar-SA"/>
        </w:rPr>
      </w:pPr>
      <w:r w:rsidRPr="00FE4F2A">
        <w:rPr>
          <w:rFonts w:eastAsiaTheme="minorHAnsi" w:cstheme="minorHAnsi"/>
          <w:b w:val="0"/>
          <w:sz w:val="22"/>
          <w:szCs w:val="22"/>
          <w:lang w:bidi="ar-SA"/>
        </w:rPr>
        <w:t xml:space="preserve">We recognise that specific NFP reliefs or modifications may be appropriate in certain circumstances and, where such reliefs are provided to Tier 1 NFP entities, equivalent reliefs should also be </w:t>
      </w:r>
      <w:r w:rsidR="001A08B1">
        <w:rPr>
          <w:rFonts w:eastAsiaTheme="minorHAnsi" w:cstheme="minorHAnsi"/>
          <w:b w:val="0"/>
          <w:sz w:val="22"/>
          <w:szCs w:val="22"/>
          <w:lang w:bidi="ar-SA"/>
        </w:rPr>
        <w:t>provided to</w:t>
      </w:r>
      <w:r w:rsidRPr="00FE4F2A">
        <w:rPr>
          <w:rFonts w:eastAsiaTheme="minorHAnsi" w:cstheme="minorHAnsi"/>
          <w:b w:val="0"/>
          <w:sz w:val="22"/>
          <w:szCs w:val="22"/>
          <w:lang w:bidi="ar-SA"/>
        </w:rPr>
        <w:t xml:space="preserve"> Tier 2 entities, where applicable.</w:t>
      </w:r>
    </w:p>
    <w:p w14:paraId="1224284A" w14:textId="77777777" w:rsidR="00B72470" w:rsidRPr="00B72470" w:rsidRDefault="00B72470" w:rsidP="00B72470"/>
    <w:tbl>
      <w:tblPr>
        <w:tblStyle w:val="TableGrid"/>
        <w:tblW w:w="0" w:type="auto"/>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ook w:val="04A0" w:firstRow="1" w:lastRow="0" w:firstColumn="1" w:lastColumn="0" w:noHBand="0" w:noVBand="1"/>
      </w:tblPr>
      <w:tblGrid>
        <w:gridCol w:w="10450"/>
      </w:tblGrid>
      <w:tr w:rsidR="00DA46A7" w:rsidRPr="00881C6E" w14:paraId="7801F128" w14:textId="77777777" w:rsidTr="00F0562E">
        <w:tc>
          <w:tcPr>
            <w:tcW w:w="10450" w:type="dxa"/>
          </w:tcPr>
          <w:p w14:paraId="567AA176" w14:textId="1F288EEE" w:rsidR="00A819A6" w:rsidRPr="00881C6E" w:rsidRDefault="00A819A6" w:rsidP="00A819A6">
            <w:pPr>
              <w:spacing w:before="240" w:after="240"/>
              <w:jc w:val="both"/>
              <w:rPr>
                <w:rFonts w:ascii="Avenir LT Std 35 Light" w:hAnsi="Avenir LT Std 35 Light"/>
                <w:b/>
                <w:bCs/>
                <w:sz w:val="22"/>
                <w:szCs w:val="22"/>
              </w:rPr>
            </w:pPr>
            <w:r w:rsidRPr="00881C6E">
              <w:rPr>
                <w:rFonts w:ascii="Avenir LT Std 35 Light" w:hAnsi="Avenir LT Std 35 Light"/>
                <w:b/>
                <w:bCs/>
                <w:sz w:val="22"/>
                <w:szCs w:val="22"/>
              </w:rPr>
              <w:t>2</w:t>
            </w:r>
            <w:r w:rsidR="005160F9" w:rsidRPr="00881C6E">
              <w:rPr>
                <w:rFonts w:ascii="Avenir LT Std 35 Light" w:hAnsi="Avenir LT Std 35 Light"/>
                <w:b/>
                <w:bCs/>
                <w:sz w:val="22"/>
                <w:szCs w:val="22"/>
              </w:rPr>
              <w:t>)</w:t>
            </w:r>
            <w:r w:rsidRPr="00881C6E">
              <w:rPr>
                <w:rFonts w:ascii="Avenir LT Std 35 Light" w:hAnsi="Avenir LT Std 35 Light"/>
                <w:b/>
                <w:bCs/>
                <w:sz w:val="22"/>
                <w:szCs w:val="22"/>
              </w:rPr>
              <w:t xml:space="preserve"> Do you agree with the approach proposed to achieve alignment of the classification and presentation requirements, including the consequential amendments proposed to guidance currently included in AASB 1060? </w:t>
            </w:r>
          </w:p>
          <w:p w14:paraId="5BB2DE2B" w14:textId="3990FF90" w:rsidR="00DA46A7" w:rsidRPr="00881C6E" w:rsidRDefault="00A819A6" w:rsidP="00A819A6">
            <w:pPr>
              <w:spacing w:before="240" w:after="240"/>
              <w:jc w:val="both"/>
              <w:rPr>
                <w:rFonts w:ascii="Avenir LT Std 35 Light" w:hAnsi="Avenir LT Std 35 Light"/>
                <w:b/>
                <w:bCs/>
                <w:sz w:val="22"/>
                <w:szCs w:val="22"/>
              </w:rPr>
            </w:pPr>
            <w:r w:rsidRPr="00881C6E">
              <w:rPr>
                <w:rFonts w:ascii="Avenir LT Std 35 Light" w:hAnsi="Avenir LT Std 35 Light"/>
                <w:b/>
                <w:bCs/>
                <w:sz w:val="22"/>
                <w:szCs w:val="22"/>
              </w:rPr>
              <w:t>If you disagree, please explain why.</w:t>
            </w:r>
          </w:p>
        </w:tc>
      </w:tr>
    </w:tbl>
    <w:p w14:paraId="778ACA79" w14:textId="77777777" w:rsidR="00D27781" w:rsidRDefault="00D27781" w:rsidP="009405A7">
      <w:pPr>
        <w:pStyle w:val="Subhead"/>
        <w:jc w:val="both"/>
        <w:rPr>
          <w:rFonts w:eastAsiaTheme="minorHAnsi" w:cstheme="minorHAnsi"/>
          <w:b w:val="0"/>
          <w:sz w:val="22"/>
          <w:szCs w:val="22"/>
          <w:lang w:bidi="ar-SA"/>
        </w:rPr>
      </w:pPr>
    </w:p>
    <w:p w14:paraId="1F211848" w14:textId="77777777" w:rsidR="00D27781" w:rsidRDefault="00D27781" w:rsidP="009405A7">
      <w:pPr>
        <w:pStyle w:val="Subhead"/>
        <w:jc w:val="both"/>
        <w:rPr>
          <w:rFonts w:eastAsiaTheme="minorHAnsi" w:cstheme="minorHAnsi"/>
          <w:b w:val="0"/>
          <w:sz w:val="22"/>
          <w:szCs w:val="22"/>
          <w:lang w:bidi="ar-SA"/>
        </w:rPr>
      </w:pPr>
    </w:p>
    <w:p w14:paraId="48B35CF3" w14:textId="1F5F9B6C" w:rsidR="00A4413A" w:rsidRPr="005C0F01" w:rsidRDefault="009405A7" w:rsidP="009405A7">
      <w:pPr>
        <w:pStyle w:val="Subhead"/>
        <w:jc w:val="both"/>
        <w:rPr>
          <w:rFonts w:eastAsiaTheme="minorHAnsi" w:cstheme="minorHAnsi"/>
          <w:b w:val="0"/>
          <w:sz w:val="22"/>
          <w:szCs w:val="22"/>
          <w:lang w:bidi="ar-SA"/>
        </w:rPr>
      </w:pPr>
      <w:r w:rsidRPr="005C0F01">
        <w:rPr>
          <w:rFonts w:eastAsiaTheme="minorHAnsi" w:cstheme="minorHAnsi"/>
          <w:b w:val="0"/>
          <w:sz w:val="22"/>
          <w:szCs w:val="22"/>
          <w:lang w:bidi="ar-SA"/>
        </w:rPr>
        <w:t xml:space="preserve">We agree with the </w:t>
      </w:r>
      <w:r w:rsidR="004E7D64" w:rsidRPr="005C0F01">
        <w:rPr>
          <w:rFonts w:eastAsiaTheme="minorHAnsi" w:cstheme="minorHAnsi"/>
          <w:b w:val="0"/>
          <w:sz w:val="22"/>
          <w:szCs w:val="22"/>
          <w:lang w:bidi="ar-SA"/>
        </w:rPr>
        <w:t xml:space="preserve">proposed </w:t>
      </w:r>
      <w:r w:rsidRPr="005C0F01">
        <w:rPr>
          <w:rFonts w:eastAsiaTheme="minorHAnsi" w:cstheme="minorHAnsi"/>
          <w:b w:val="0"/>
          <w:sz w:val="22"/>
          <w:szCs w:val="22"/>
          <w:lang w:bidi="ar-SA"/>
        </w:rPr>
        <w:t>approach</w:t>
      </w:r>
      <w:r w:rsidR="004E7D64" w:rsidRPr="005C0F01">
        <w:rPr>
          <w:rFonts w:eastAsiaTheme="minorHAnsi" w:cstheme="minorHAnsi"/>
          <w:b w:val="0"/>
          <w:sz w:val="22"/>
          <w:szCs w:val="22"/>
          <w:lang w:bidi="ar-SA"/>
        </w:rPr>
        <w:t xml:space="preserve">. </w:t>
      </w:r>
      <w:r w:rsidRPr="005C0F01">
        <w:rPr>
          <w:rFonts w:eastAsiaTheme="minorHAnsi" w:cstheme="minorHAnsi"/>
          <w:b w:val="0"/>
          <w:sz w:val="22"/>
          <w:szCs w:val="22"/>
          <w:lang w:bidi="ar-SA"/>
        </w:rPr>
        <w:t xml:space="preserve">As stated in our </w:t>
      </w:r>
      <w:r w:rsidR="004E7D64" w:rsidRPr="005C0F01">
        <w:rPr>
          <w:rFonts w:eastAsiaTheme="minorHAnsi" w:cstheme="minorHAnsi"/>
          <w:b w:val="0"/>
          <w:sz w:val="22"/>
          <w:szCs w:val="22"/>
          <w:lang w:bidi="ar-SA"/>
        </w:rPr>
        <w:t xml:space="preserve">submission to </w:t>
      </w:r>
      <w:r w:rsidR="00BE0784" w:rsidRPr="005C0F01">
        <w:rPr>
          <w:b w:val="0"/>
          <w:sz w:val="22"/>
          <w:szCs w:val="22"/>
        </w:rPr>
        <w:t>ITC 56</w:t>
      </w:r>
      <w:r w:rsidRPr="005C0F01">
        <w:rPr>
          <w:rFonts w:eastAsiaTheme="minorHAnsi" w:cstheme="minorHAnsi"/>
          <w:b w:val="0"/>
          <w:sz w:val="22"/>
          <w:szCs w:val="22"/>
          <w:lang w:bidi="ar-SA"/>
        </w:rPr>
        <w:t xml:space="preserve">, we preferred Option A, </w:t>
      </w:r>
      <w:r w:rsidR="00A4413A" w:rsidRPr="005C0F01">
        <w:rPr>
          <w:rFonts w:eastAsiaTheme="minorHAnsi" w:cstheme="minorHAnsi"/>
          <w:b w:val="0"/>
          <w:sz w:val="22"/>
          <w:szCs w:val="22"/>
          <w:lang w:bidi="ar-SA"/>
        </w:rPr>
        <w:t xml:space="preserve">which is the </w:t>
      </w:r>
      <w:r w:rsidR="00D56799" w:rsidRPr="005C0F01">
        <w:rPr>
          <w:rFonts w:eastAsiaTheme="minorHAnsi" w:cstheme="minorHAnsi"/>
          <w:b w:val="0"/>
          <w:sz w:val="22"/>
          <w:szCs w:val="22"/>
          <w:lang w:bidi="ar-SA"/>
        </w:rPr>
        <w:t xml:space="preserve">current </w:t>
      </w:r>
      <w:r w:rsidR="00A4413A" w:rsidRPr="005C0F01">
        <w:rPr>
          <w:rFonts w:eastAsiaTheme="minorHAnsi" w:cstheme="minorHAnsi"/>
          <w:b w:val="0"/>
          <w:sz w:val="22"/>
          <w:szCs w:val="22"/>
          <w:lang w:bidi="ar-SA"/>
        </w:rPr>
        <w:t>approach proposed by the AASB</w:t>
      </w:r>
      <w:r w:rsidR="00BE0784" w:rsidRPr="005C0F01">
        <w:rPr>
          <w:rFonts w:eastAsiaTheme="minorHAnsi" w:cstheme="minorHAnsi"/>
          <w:b w:val="0"/>
          <w:sz w:val="22"/>
          <w:szCs w:val="22"/>
          <w:lang w:bidi="ar-SA"/>
        </w:rPr>
        <w:t xml:space="preserve"> in ED 341</w:t>
      </w:r>
      <w:r w:rsidR="00A4413A" w:rsidRPr="005C0F01">
        <w:rPr>
          <w:rFonts w:eastAsiaTheme="minorHAnsi" w:cstheme="minorHAnsi"/>
          <w:b w:val="0"/>
          <w:sz w:val="22"/>
          <w:szCs w:val="22"/>
          <w:lang w:bidi="ar-SA"/>
        </w:rPr>
        <w:t xml:space="preserve">. We continue to consider this approach appropriate </w:t>
      </w:r>
      <w:r w:rsidR="00A4413A" w:rsidRPr="005C0F01">
        <w:rPr>
          <w:rFonts w:eastAsiaTheme="minorHAnsi" w:cstheme="minorHAnsi"/>
          <w:b w:val="0"/>
          <w:sz w:val="22"/>
          <w:szCs w:val="22"/>
          <w:lang w:bidi="ar-SA"/>
        </w:rPr>
        <w:lastRenderedPageBreak/>
        <w:t xml:space="preserve">as it retains AASB 1060 as a standalone Standard and provides a practical, one-stop source of requirements for Tier 2 entities. </w:t>
      </w:r>
    </w:p>
    <w:p w14:paraId="7D8D8E0E" w14:textId="057E9AF4" w:rsidR="00DA46A7" w:rsidRPr="005C0F01" w:rsidRDefault="009405A7" w:rsidP="009405A7">
      <w:pPr>
        <w:pStyle w:val="Subhead"/>
        <w:jc w:val="both"/>
        <w:rPr>
          <w:rFonts w:eastAsiaTheme="minorHAnsi" w:cstheme="minorHAnsi"/>
          <w:b w:val="0"/>
          <w:sz w:val="22"/>
          <w:szCs w:val="22"/>
          <w:lang w:bidi="ar-SA"/>
        </w:rPr>
      </w:pPr>
      <w:r w:rsidRPr="005C0F01">
        <w:rPr>
          <w:rFonts w:eastAsiaTheme="minorHAnsi" w:cstheme="minorHAnsi"/>
          <w:b w:val="0"/>
          <w:sz w:val="22"/>
          <w:szCs w:val="22"/>
          <w:lang w:bidi="ar-SA"/>
        </w:rPr>
        <w:t>We also support the inclusion of relevant AASB 18 application guidance in AASB 1060, as proposed, to assist Tier 2 entities in applying the classification and presentation requirements consistently.</w:t>
      </w:r>
      <w:r w:rsidR="00D56799" w:rsidRPr="005C0F01">
        <w:rPr>
          <w:rFonts w:eastAsiaTheme="minorHAnsi" w:cstheme="minorHAnsi"/>
          <w:b w:val="0"/>
          <w:sz w:val="22"/>
          <w:szCs w:val="22"/>
          <w:lang w:bidi="ar-SA"/>
        </w:rPr>
        <w:t xml:space="preserve"> </w:t>
      </w:r>
      <w:r w:rsidRPr="005C0F01">
        <w:rPr>
          <w:rFonts w:eastAsiaTheme="minorHAnsi" w:cstheme="minorHAnsi"/>
          <w:b w:val="0"/>
          <w:sz w:val="22"/>
          <w:szCs w:val="22"/>
          <w:lang w:bidi="ar-SA"/>
        </w:rPr>
        <w:t>We note that the approach should continue to take account of any NFP-specific modifications or reliefs determined appropriate by the AASB, consistent with our comments in response to Question 1</w:t>
      </w:r>
      <w:r w:rsidR="00D56799" w:rsidRPr="005C0F01">
        <w:rPr>
          <w:rFonts w:eastAsiaTheme="minorHAnsi" w:cstheme="minorHAnsi"/>
          <w:b w:val="0"/>
          <w:sz w:val="22"/>
          <w:szCs w:val="22"/>
          <w:lang w:bidi="ar-SA"/>
        </w:rPr>
        <w:t>.</w:t>
      </w:r>
    </w:p>
    <w:p w14:paraId="3673BF16" w14:textId="77777777" w:rsidR="00D27781" w:rsidRPr="00D27781" w:rsidRDefault="00D27781" w:rsidP="00D27781"/>
    <w:tbl>
      <w:tblPr>
        <w:tblStyle w:val="TableGrid"/>
        <w:tblW w:w="0" w:type="auto"/>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ook w:val="04A0" w:firstRow="1" w:lastRow="0" w:firstColumn="1" w:lastColumn="0" w:noHBand="0" w:noVBand="1"/>
      </w:tblPr>
      <w:tblGrid>
        <w:gridCol w:w="10450"/>
      </w:tblGrid>
      <w:tr w:rsidR="0095418E" w:rsidRPr="00881C6E" w14:paraId="2033691E" w14:textId="77777777" w:rsidTr="00F0562E">
        <w:tc>
          <w:tcPr>
            <w:tcW w:w="10450" w:type="dxa"/>
          </w:tcPr>
          <w:p w14:paraId="632CC99B" w14:textId="720006BE" w:rsidR="00800E2D" w:rsidRPr="00881C6E" w:rsidRDefault="001371FD" w:rsidP="001371FD">
            <w:pPr>
              <w:spacing w:before="240" w:after="240"/>
              <w:jc w:val="both"/>
              <w:rPr>
                <w:rFonts w:ascii="Avenir LT Std 35 Light" w:hAnsi="Avenir LT Std 35 Light"/>
                <w:b/>
                <w:bCs/>
                <w:sz w:val="22"/>
                <w:szCs w:val="22"/>
              </w:rPr>
            </w:pPr>
            <w:r w:rsidRPr="00881C6E">
              <w:rPr>
                <w:rFonts w:ascii="Avenir LT Std 35 Light" w:hAnsi="Avenir LT Std 35 Light"/>
                <w:b/>
                <w:bCs/>
                <w:sz w:val="22"/>
                <w:szCs w:val="22"/>
              </w:rPr>
              <w:t>3</w:t>
            </w:r>
            <w:r w:rsidR="005160F9" w:rsidRPr="00881C6E">
              <w:rPr>
                <w:rFonts w:ascii="Avenir LT Std 35 Light" w:hAnsi="Avenir LT Std 35 Light"/>
                <w:b/>
                <w:bCs/>
                <w:sz w:val="22"/>
                <w:szCs w:val="22"/>
              </w:rPr>
              <w:t>)</w:t>
            </w:r>
            <w:r w:rsidRPr="00881C6E">
              <w:rPr>
                <w:rFonts w:ascii="Avenir LT Std 35 Light" w:hAnsi="Avenir LT Std 35 Light"/>
                <w:b/>
                <w:bCs/>
                <w:sz w:val="22"/>
                <w:szCs w:val="22"/>
              </w:rPr>
              <w:t xml:space="preserve"> Do you agree that the transition requirements should be the same as those for AASB 18: </w:t>
            </w:r>
          </w:p>
          <w:p w14:paraId="55A73D54" w14:textId="05532E88" w:rsidR="001371FD" w:rsidRPr="00881C6E" w:rsidRDefault="001371FD" w:rsidP="001371FD">
            <w:pPr>
              <w:spacing w:before="240" w:after="240"/>
              <w:jc w:val="both"/>
              <w:rPr>
                <w:rFonts w:ascii="Avenir LT Std 35 Light" w:hAnsi="Avenir LT Std 35 Light"/>
                <w:b/>
                <w:bCs/>
                <w:sz w:val="22"/>
                <w:szCs w:val="22"/>
              </w:rPr>
            </w:pPr>
            <w:r w:rsidRPr="00881C6E">
              <w:rPr>
                <w:rFonts w:ascii="Avenir LT Std 35 Light" w:hAnsi="Avenir LT Std 35 Light"/>
                <w:b/>
                <w:bCs/>
                <w:sz w:val="22"/>
                <w:szCs w:val="22"/>
              </w:rPr>
              <w:t xml:space="preserve">(a) the amendments should be applied retrospectively; </w:t>
            </w:r>
          </w:p>
          <w:p w14:paraId="0BE89862" w14:textId="77777777" w:rsidR="001371FD" w:rsidRPr="00881C6E" w:rsidRDefault="001371FD" w:rsidP="001371FD">
            <w:pPr>
              <w:spacing w:before="240" w:after="240"/>
              <w:jc w:val="both"/>
              <w:rPr>
                <w:rFonts w:ascii="Avenir LT Std 35 Light" w:hAnsi="Avenir LT Std 35 Light"/>
                <w:b/>
                <w:bCs/>
                <w:sz w:val="22"/>
                <w:szCs w:val="22"/>
              </w:rPr>
            </w:pPr>
            <w:r w:rsidRPr="00881C6E">
              <w:rPr>
                <w:rFonts w:ascii="Avenir LT Std 35 Light" w:hAnsi="Avenir LT Std 35 Light"/>
                <w:b/>
                <w:bCs/>
                <w:sz w:val="22"/>
                <w:szCs w:val="22"/>
              </w:rPr>
              <w:t xml:space="preserve">(b) entities should disclose a reconciliation for each line item in the statement of profit or loss between the restated amounts and the amounts previously reported for the comparative period, but not for the current period or earlier periods presented. Entities are not required to comply with paragraph 106(b) of AASB 1060; and </w:t>
            </w:r>
          </w:p>
          <w:p w14:paraId="48A83FBE" w14:textId="0E1554CC" w:rsidR="001371FD" w:rsidRPr="00881C6E" w:rsidRDefault="001371FD" w:rsidP="001371FD">
            <w:pPr>
              <w:spacing w:before="240" w:after="240"/>
              <w:jc w:val="both"/>
              <w:rPr>
                <w:rFonts w:ascii="Avenir LT Std 35 Light" w:hAnsi="Avenir LT Std 35 Light"/>
                <w:b/>
                <w:bCs/>
                <w:sz w:val="22"/>
                <w:szCs w:val="22"/>
              </w:rPr>
            </w:pPr>
            <w:r w:rsidRPr="00881C6E">
              <w:rPr>
                <w:rFonts w:ascii="Avenir LT Std 35 Light" w:hAnsi="Avenir LT Std 35 Light"/>
                <w:b/>
                <w:bCs/>
                <w:sz w:val="22"/>
                <w:szCs w:val="22"/>
              </w:rPr>
              <w:t xml:space="preserve">(c) when first applying the amendments, eligible entities may change their elections for measuring an investment in an associate or joint venture from the equity method to fair value through profit or loss (see paragraph BC42)? </w:t>
            </w:r>
          </w:p>
          <w:p w14:paraId="2CFA7A52" w14:textId="79A22F31" w:rsidR="0095418E" w:rsidRPr="00881C6E" w:rsidRDefault="001371FD" w:rsidP="001371FD">
            <w:pPr>
              <w:spacing w:before="240" w:after="240"/>
              <w:jc w:val="both"/>
              <w:rPr>
                <w:rFonts w:ascii="Avenir LT Std 35 Light" w:hAnsi="Avenir LT Std 35 Light"/>
                <w:b/>
                <w:bCs/>
                <w:sz w:val="22"/>
                <w:szCs w:val="22"/>
              </w:rPr>
            </w:pPr>
            <w:r w:rsidRPr="00881C6E">
              <w:rPr>
                <w:rFonts w:ascii="Avenir LT Std 35 Light" w:hAnsi="Avenir LT Std 35 Light"/>
                <w:b/>
                <w:bCs/>
                <w:sz w:val="22"/>
                <w:szCs w:val="22"/>
              </w:rPr>
              <w:t>If you disagree, please explain why.</w:t>
            </w:r>
          </w:p>
        </w:tc>
      </w:tr>
    </w:tbl>
    <w:p w14:paraId="6F5468C1" w14:textId="238BBDD1" w:rsidR="0095418E" w:rsidRDefault="00B65FCE" w:rsidP="00B65FCE">
      <w:pPr>
        <w:pStyle w:val="Subhead"/>
        <w:jc w:val="both"/>
        <w:rPr>
          <w:rFonts w:eastAsiaTheme="minorHAnsi" w:cstheme="minorHAnsi"/>
          <w:b w:val="0"/>
          <w:sz w:val="22"/>
          <w:szCs w:val="22"/>
          <w:lang w:bidi="ar-SA"/>
        </w:rPr>
      </w:pPr>
      <w:r>
        <w:rPr>
          <w:rFonts w:eastAsiaTheme="minorHAnsi" w:cstheme="minorHAnsi"/>
          <w:b w:val="0"/>
          <w:sz w:val="22"/>
          <w:szCs w:val="22"/>
          <w:lang w:bidi="ar-SA"/>
        </w:rPr>
        <w:t xml:space="preserve">We agree with </w:t>
      </w:r>
      <w:r w:rsidRPr="00B65FCE">
        <w:rPr>
          <w:rFonts w:eastAsiaTheme="minorHAnsi" w:cstheme="minorHAnsi"/>
          <w:b w:val="0"/>
          <w:sz w:val="22"/>
          <w:szCs w:val="22"/>
          <w:lang w:bidi="ar-SA"/>
        </w:rPr>
        <w:t>the transition requirements.</w:t>
      </w:r>
      <w:r>
        <w:rPr>
          <w:rFonts w:eastAsiaTheme="minorHAnsi" w:cstheme="minorHAnsi"/>
          <w:b w:val="0"/>
          <w:sz w:val="22"/>
          <w:szCs w:val="22"/>
          <w:lang w:bidi="ar-SA"/>
        </w:rPr>
        <w:t xml:space="preserve"> </w:t>
      </w:r>
      <w:r w:rsidR="00240EB9" w:rsidRPr="00240EB9">
        <w:rPr>
          <w:rFonts w:eastAsiaTheme="minorHAnsi" w:cstheme="minorHAnsi"/>
          <w:b w:val="0"/>
          <w:sz w:val="22"/>
          <w:szCs w:val="22"/>
          <w:lang w:bidi="ar-SA"/>
        </w:rPr>
        <w:t>As these requirements are consistent with the transition requirements already established in AASB 18, w</w:t>
      </w:r>
      <w:r w:rsidRPr="00B65FCE">
        <w:rPr>
          <w:rFonts w:eastAsiaTheme="minorHAnsi" w:cstheme="minorHAnsi"/>
          <w:b w:val="0"/>
          <w:sz w:val="22"/>
          <w:szCs w:val="22"/>
          <w:lang w:bidi="ar-SA"/>
        </w:rPr>
        <w:t>e consider retrospective application and the proposed reconciliation requirements appropriate to facilitate comparability between the restated comparative information and amounts previously reported, while the option for eligible entities to change their measurement election for investments in associates and joint ventures provides appropriate flexibility on first applying the amendments.</w:t>
      </w:r>
      <w:r w:rsidR="00980DD3">
        <w:rPr>
          <w:rFonts w:eastAsiaTheme="minorHAnsi" w:cstheme="minorHAnsi"/>
          <w:b w:val="0"/>
          <w:sz w:val="22"/>
          <w:szCs w:val="22"/>
          <w:lang w:bidi="ar-SA"/>
        </w:rPr>
        <w:t xml:space="preserve"> As such w</w:t>
      </w:r>
      <w:r w:rsidRPr="00B65FCE">
        <w:rPr>
          <w:rFonts w:eastAsiaTheme="minorHAnsi" w:cstheme="minorHAnsi"/>
          <w:b w:val="0"/>
          <w:sz w:val="22"/>
          <w:szCs w:val="22"/>
          <w:lang w:bidi="ar-SA"/>
        </w:rPr>
        <w:t xml:space="preserve">e support the proposed transition requirements as they promote consistency between Tier 1 and Tier 2 entities and avoid unnecessary differences in applying the new classification and presentation requirements. </w:t>
      </w:r>
    </w:p>
    <w:p w14:paraId="092A5F0D" w14:textId="77777777" w:rsidR="00D27781" w:rsidRPr="00D27781" w:rsidRDefault="00D27781" w:rsidP="00D27781"/>
    <w:tbl>
      <w:tblPr>
        <w:tblStyle w:val="TableGrid"/>
        <w:tblW w:w="0" w:type="auto"/>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ook w:val="04A0" w:firstRow="1" w:lastRow="0" w:firstColumn="1" w:lastColumn="0" w:noHBand="0" w:noVBand="1"/>
      </w:tblPr>
      <w:tblGrid>
        <w:gridCol w:w="10450"/>
      </w:tblGrid>
      <w:tr w:rsidR="0095418E" w:rsidRPr="00881C6E" w14:paraId="03FEFE09" w14:textId="77777777" w:rsidTr="00F0562E">
        <w:tc>
          <w:tcPr>
            <w:tcW w:w="10450" w:type="dxa"/>
          </w:tcPr>
          <w:p w14:paraId="0B91AC07" w14:textId="060F8F67" w:rsidR="00EE4775" w:rsidRPr="00881C6E" w:rsidRDefault="00EE4775" w:rsidP="00EE4775">
            <w:pPr>
              <w:spacing w:before="240" w:after="240"/>
              <w:jc w:val="both"/>
              <w:rPr>
                <w:rFonts w:ascii="Avenir LT Std 35 Light" w:hAnsi="Avenir LT Std 35 Light"/>
                <w:b/>
                <w:bCs/>
                <w:sz w:val="22"/>
                <w:szCs w:val="22"/>
              </w:rPr>
            </w:pPr>
            <w:r w:rsidRPr="00881C6E">
              <w:rPr>
                <w:rFonts w:ascii="Avenir LT Std 35 Light" w:hAnsi="Avenir LT Std 35 Light"/>
                <w:b/>
                <w:bCs/>
                <w:sz w:val="22"/>
                <w:szCs w:val="22"/>
              </w:rPr>
              <w:t>4</w:t>
            </w:r>
            <w:r w:rsidR="005160F9" w:rsidRPr="00881C6E">
              <w:rPr>
                <w:rFonts w:ascii="Avenir LT Std 35 Light" w:hAnsi="Avenir LT Std 35 Light"/>
                <w:b/>
                <w:bCs/>
                <w:sz w:val="22"/>
                <w:szCs w:val="22"/>
              </w:rPr>
              <w:t>)</w:t>
            </w:r>
            <w:r w:rsidRPr="00881C6E">
              <w:rPr>
                <w:rFonts w:ascii="Avenir LT Std 35 Light" w:hAnsi="Avenir LT Std 35 Light"/>
                <w:b/>
                <w:bCs/>
                <w:sz w:val="22"/>
                <w:szCs w:val="22"/>
              </w:rPr>
              <w:t xml:space="preserve"> In ED 338, the AASB sought stakeholder feedback on the suitability of applying AASB 18 and the revised AASB 107 Statement of Cash Flows requirements to not-for-profit (NFP) private and public sector entities preparing Tier 1 General Purpose Financial Statements (GPFS). </w:t>
            </w:r>
          </w:p>
          <w:p w14:paraId="6E8137F8" w14:textId="77777777" w:rsidR="00EE4775" w:rsidRPr="00881C6E" w:rsidRDefault="00EE4775" w:rsidP="00EE4775">
            <w:pPr>
              <w:spacing w:before="240" w:after="240"/>
              <w:jc w:val="both"/>
              <w:rPr>
                <w:rFonts w:ascii="Avenir LT Std 35 Light" w:hAnsi="Avenir LT Std 35 Light"/>
                <w:b/>
                <w:bCs/>
                <w:sz w:val="22"/>
                <w:szCs w:val="22"/>
              </w:rPr>
            </w:pPr>
            <w:r w:rsidRPr="00881C6E">
              <w:rPr>
                <w:rFonts w:ascii="Avenir LT Std 35 Light" w:hAnsi="Avenir LT Std 35 Light"/>
                <w:b/>
                <w:bCs/>
                <w:sz w:val="22"/>
                <w:szCs w:val="22"/>
              </w:rPr>
              <w:t xml:space="preserve">In May 2026, the AASB decided in respect of NFP public sector entities (excluding universities) preparing Tier 1 GPFS to: </w:t>
            </w:r>
          </w:p>
          <w:p w14:paraId="6E4D2478" w14:textId="77777777" w:rsidR="00EE4775" w:rsidRPr="00881C6E" w:rsidRDefault="00EE4775" w:rsidP="00EE4775">
            <w:pPr>
              <w:spacing w:before="240" w:after="240"/>
              <w:jc w:val="both"/>
              <w:rPr>
                <w:rFonts w:ascii="Avenir LT Std 35 Light" w:hAnsi="Avenir LT Std 35 Light"/>
                <w:b/>
                <w:bCs/>
                <w:sz w:val="22"/>
                <w:szCs w:val="22"/>
              </w:rPr>
            </w:pPr>
            <w:r w:rsidRPr="00881C6E">
              <w:rPr>
                <w:rFonts w:ascii="Avenir LT Std 35 Light" w:hAnsi="Avenir LT Std 35 Light"/>
                <w:b/>
                <w:bCs/>
                <w:sz w:val="22"/>
                <w:szCs w:val="22"/>
              </w:rPr>
              <w:t xml:space="preserve">(a) require governments to continue presenting the GPFS of the Whole of Government and the General Government Sector in accordance with the formats specified in AASB 1049 Whole of Government and General Government Sector Financial Reporting, rather than the formats required by AASB 18; </w:t>
            </w:r>
          </w:p>
          <w:p w14:paraId="207D07B5" w14:textId="77777777" w:rsidR="00EE4775" w:rsidRPr="00881C6E" w:rsidRDefault="00EE4775" w:rsidP="00EE4775">
            <w:pPr>
              <w:spacing w:before="240" w:after="240"/>
              <w:jc w:val="both"/>
              <w:rPr>
                <w:rFonts w:ascii="Avenir LT Std 35 Light" w:hAnsi="Avenir LT Std 35 Light"/>
                <w:b/>
                <w:bCs/>
                <w:sz w:val="22"/>
                <w:szCs w:val="22"/>
              </w:rPr>
            </w:pPr>
            <w:r w:rsidRPr="00881C6E">
              <w:rPr>
                <w:rFonts w:ascii="Avenir LT Std 35 Light" w:hAnsi="Avenir LT Std 35 Light"/>
                <w:b/>
                <w:bCs/>
                <w:sz w:val="22"/>
                <w:szCs w:val="22"/>
              </w:rPr>
              <w:t xml:space="preserve">(b) provide accounting policy choices for NFP public sector entities to elect to apply certain AASB 18 requirements – such as the requirements for categorising income and expenses into the operating, investing and financing categories and the requirements for identifying and disclosing information about management-defined performance measures – thereby allowing relevant regulators to continue prescribing presentation formats that best meet users’ information needs; </w:t>
            </w:r>
          </w:p>
          <w:p w14:paraId="779D64D2" w14:textId="77777777" w:rsidR="00EE4775" w:rsidRPr="00881C6E" w:rsidRDefault="00EE4775" w:rsidP="00EE4775">
            <w:pPr>
              <w:spacing w:before="240" w:after="240"/>
              <w:jc w:val="both"/>
              <w:rPr>
                <w:rFonts w:ascii="Avenir LT Std 35 Light" w:hAnsi="Avenir LT Std 35 Light"/>
                <w:b/>
                <w:bCs/>
                <w:sz w:val="22"/>
                <w:szCs w:val="22"/>
              </w:rPr>
            </w:pPr>
            <w:r w:rsidRPr="00881C6E">
              <w:rPr>
                <w:rFonts w:ascii="Avenir LT Std 35 Light" w:hAnsi="Avenir LT Std 35 Light"/>
                <w:b/>
                <w:bCs/>
                <w:sz w:val="22"/>
                <w:szCs w:val="22"/>
              </w:rPr>
              <w:t xml:space="preserve">(c) require NFP public sector entities to apply the AASB 18 requirements on labelling and aggregation; </w:t>
            </w:r>
          </w:p>
          <w:p w14:paraId="6C31C3B9" w14:textId="77777777" w:rsidR="00EE4775" w:rsidRPr="00881C6E" w:rsidRDefault="00EE4775" w:rsidP="00EE4775">
            <w:pPr>
              <w:spacing w:before="240" w:after="240"/>
              <w:jc w:val="both"/>
              <w:rPr>
                <w:rFonts w:ascii="Avenir LT Std 35 Light" w:hAnsi="Avenir LT Std 35 Light"/>
                <w:b/>
                <w:bCs/>
                <w:sz w:val="22"/>
                <w:szCs w:val="22"/>
              </w:rPr>
            </w:pPr>
            <w:r w:rsidRPr="00881C6E">
              <w:rPr>
                <w:rFonts w:ascii="Avenir LT Std 35 Light" w:hAnsi="Avenir LT Std 35 Light"/>
                <w:b/>
                <w:bCs/>
                <w:sz w:val="22"/>
                <w:szCs w:val="22"/>
              </w:rPr>
              <w:lastRenderedPageBreak/>
              <w:t xml:space="preserve">(d) permit NFP public sector entities to reconcile cash flows from operating activities to the profit or loss total presented in the statement of profit or loss if the entity does not present the operating profit or loss subtotal; and </w:t>
            </w:r>
          </w:p>
          <w:p w14:paraId="2EC07C6A" w14:textId="6F0E3C3A" w:rsidR="00EE4775" w:rsidRPr="00881C6E" w:rsidRDefault="00EE4775" w:rsidP="00EE4775">
            <w:pPr>
              <w:spacing w:before="240" w:after="240"/>
              <w:jc w:val="both"/>
              <w:rPr>
                <w:rFonts w:ascii="Avenir LT Std 35 Light" w:hAnsi="Avenir LT Std 35 Light"/>
                <w:b/>
                <w:bCs/>
                <w:sz w:val="22"/>
                <w:szCs w:val="22"/>
              </w:rPr>
            </w:pPr>
            <w:r w:rsidRPr="00881C6E">
              <w:rPr>
                <w:rFonts w:ascii="Avenir LT Std 35 Light" w:hAnsi="Avenir LT Std 35 Light"/>
                <w:b/>
                <w:bCs/>
                <w:sz w:val="22"/>
                <w:szCs w:val="22"/>
              </w:rPr>
              <w:t xml:space="preserve">(e) retain the existing accounting policy choice for classifying cash flows from dividends received and interest paid and received, for example as cash flows from operating activities. </w:t>
            </w:r>
          </w:p>
          <w:p w14:paraId="2971B5FE" w14:textId="77777777" w:rsidR="00EE4775" w:rsidRPr="00881C6E" w:rsidRDefault="00EE4775" w:rsidP="00EE4775">
            <w:pPr>
              <w:spacing w:before="240" w:after="240"/>
              <w:jc w:val="both"/>
              <w:rPr>
                <w:rFonts w:ascii="Avenir LT Std 35 Light" w:hAnsi="Avenir LT Std 35 Light"/>
                <w:b/>
                <w:bCs/>
                <w:sz w:val="22"/>
                <w:szCs w:val="22"/>
              </w:rPr>
            </w:pPr>
            <w:r w:rsidRPr="00881C6E">
              <w:rPr>
                <w:rFonts w:ascii="Avenir LT Std 35 Light" w:hAnsi="Avenir LT Std 35 Light"/>
                <w:b/>
                <w:bCs/>
                <w:sz w:val="22"/>
                <w:szCs w:val="22"/>
              </w:rPr>
              <w:t xml:space="preserve">Do you agree that the reliefs granted to NFP public sector entities preparing Tier 1 GPFS should also be provided to NFP public sector entities preparing Tier 2 GPFS? </w:t>
            </w:r>
          </w:p>
          <w:p w14:paraId="1443B18C" w14:textId="0A5F8FB1" w:rsidR="0095418E" w:rsidRPr="00881C6E" w:rsidRDefault="00EE4775" w:rsidP="00EE4775">
            <w:pPr>
              <w:spacing w:before="240" w:after="240"/>
              <w:jc w:val="both"/>
              <w:rPr>
                <w:rFonts w:ascii="Avenir LT Std 35 Light" w:hAnsi="Avenir LT Std 35 Light"/>
                <w:b/>
                <w:bCs/>
                <w:sz w:val="22"/>
                <w:szCs w:val="22"/>
              </w:rPr>
            </w:pPr>
            <w:r w:rsidRPr="00881C6E">
              <w:rPr>
                <w:rFonts w:ascii="Avenir LT Std 35 Light" w:hAnsi="Avenir LT Std 35 Light"/>
                <w:b/>
                <w:bCs/>
                <w:sz w:val="22"/>
                <w:szCs w:val="22"/>
              </w:rPr>
              <w:t>If you disagree with this approach, please explain why.</w:t>
            </w:r>
          </w:p>
        </w:tc>
      </w:tr>
    </w:tbl>
    <w:p w14:paraId="01E38938" w14:textId="265A2347" w:rsidR="002329BF" w:rsidRPr="005C0F01" w:rsidRDefault="002329BF" w:rsidP="002329BF">
      <w:pPr>
        <w:pStyle w:val="Subhead"/>
        <w:jc w:val="both"/>
        <w:rPr>
          <w:rFonts w:eastAsiaTheme="minorHAnsi" w:cstheme="minorHAnsi"/>
          <w:b w:val="0"/>
          <w:sz w:val="22"/>
          <w:szCs w:val="22"/>
          <w:lang w:bidi="ar-SA"/>
        </w:rPr>
      </w:pPr>
      <w:r w:rsidRPr="005C0F01">
        <w:rPr>
          <w:rFonts w:eastAsiaTheme="minorHAnsi" w:cstheme="minorHAnsi"/>
          <w:b w:val="0"/>
          <w:sz w:val="22"/>
          <w:szCs w:val="22"/>
          <w:lang w:bidi="ar-SA"/>
        </w:rPr>
        <w:lastRenderedPageBreak/>
        <w:t>We agree that the reliefs granted to NFP public sector entities preparing Tier 1 GPFS should also be provided to NFP public sector entities preparing Tier 2 GPFS.</w:t>
      </w:r>
    </w:p>
    <w:p w14:paraId="40B5255A" w14:textId="31DA3562" w:rsidR="002329BF" w:rsidRPr="005C0F01" w:rsidRDefault="002329BF" w:rsidP="002329BF">
      <w:pPr>
        <w:pStyle w:val="Subhead"/>
        <w:jc w:val="both"/>
        <w:rPr>
          <w:rFonts w:eastAsiaTheme="minorHAnsi" w:cstheme="minorHAnsi"/>
          <w:b w:val="0"/>
          <w:sz w:val="22"/>
          <w:szCs w:val="22"/>
          <w:lang w:bidi="ar-SA"/>
        </w:rPr>
      </w:pPr>
      <w:r w:rsidRPr="005C0F01">
        <w:rPr>
          <w:rFonts w:eastAsiaTheme="minorHAnsi" w:cstheme="minorHAnsi"/>
          <w:b w:val="0"/>
          <w:sz w:val="22"/>
          <w:szCs w:val="22"/>
          <w:lang w:bidi="ar-SA"/>
        </w:rPr>
        <w:t xml:space="preserve">As stated in our </w:t>
      </w:r>
      <w:r w:rsidR="00BB0EFC" w:rsidRPr="005C0F01">
        <w:rPr>
          <w:rFonts w:eastAsiaTheme="minorHAnsi" w:cstheme="minorHAnsi"/>
          <w:b w:val="0"/>
          <w:sz w:val="22"/>
          <w:szCs w:val="22"/>
          <w:lang w:bidi="ar-SA"/>
        </w:rPr>
        <w:t xml:space="preserve">submission to </w:t>
      </w:r>
      <w:r w:rsidR="00D04B64" w:rsidRPr="005C0F01">
        <w:rPr>
          <w:b w:val="0"/>
          <w:sz w:val="22"/>
          <w:szCs w:val="22"/>
        </w:rPr>
        <w:t>ED 338</w:t>
      </w:r>
      <w:r w:rsidRPr="005C0F01">
        <w:rPr>
          <w:rFonts w:eastAsiaTheme="minorHAnsi" w:cstheme="minorHAnsi"/>
          <w:b w:val="0"/>
          <w:sz w:val="22"/>
          <w:szCs w:val="22"/>
          <w:lang w:bidi="ar-SA"/>
        </w:rPr>
        <w:t xml:space="preserve">, our comments in respect of NFP public sector entities are also relevant to NFP public sector entities preparing Tier 2 GPFS. We </w:t>
      </w:r>
      <w:r w:rsidR="00404316" w:rsidRPr="005C0F01">
        <w:rPr>
          <w:rFonts w:eastAsiaTheme="minorHAnsi" w:cstheme="minorHAnsi"/>
          <w:b w:val="0"/>
          <w:sz w:val="22"/>
          <w:szCs w:val="22"/>
          <w:lang w:bidi="ar-SA"/>
        </w:rPr>
        <w:t xml:space="preserve">therefore support extending </w:t>
      </w:r>
      <w:r w:rsidRPr="005C0F01">
        <w:rPr>
          <w:rFonts w:eastAsiaTheme="minorHAnsi" w:cstheme="minorHAnsi"/>
          <w:b w:val="0"/>
          <w:sz w:val="22"/>
          <w:szCs w:val="22"/>
          <w:lang w:bidi="ar-SA"/>
        </w:rPr>
        <w:t>the reliefs set out in paragraph 4(a)–(e) to Tier 2 entities, where applicable.</w:t>
      </w:r>
    </w:p>
    <w:p w14:paraId="60DC5534" w14:textId="008182A9" w:rsidR="001F7B37" w:rsidRPr="005C0F01" w:rsidRDefault="002329BF" w:rsidP="001F7B37">
      <w:pPr>
        <w:pStyle w:val="Subhead"/>
        <w:jc w:val="both"/>
        <w:rPr>
          <w:rFonts w:eastAsiaTheme="minorHAnsi" w:cstheme="minorHAnsi"/>
          <w:b w:val="0"/>
          <w:sz w:val="22"/>
          <w:szCs w:val="22"/>
          <w:lang w:bidi="ar-SA"/>
        </w:rPr>
      </w:pPr>
      <w:r w:rsidRPr="005C0F01">
        <w:rPr>
          <w:rFonts w:eastAsiaTheme="minorHAnsi" w:cstheme="minorHAnsi"/>
          <w:b w:val="0"/>
          <w:sz w:val="22"/>
          <w:szCs w:val="22"/>
          <w:lang w:bidi="ar-SA"/>
        </w:rPr>
        <w:t>We consider that applying equivalent reliefs to Tier 1 and Tier 2 NFP public sector entities would maintain consistency across the tiers while recognising the particular reporting and regulatory circumstances of NFP public sector entities.</w:t>
      </w:r>
    </w:p>
    <w:p w14:paraId="754867CE" w14:textId="61A618DB" w:rsidR="001F7B37" w:rsidRPr="005C0F01" w:rsidRDefault="001F7B37" w:rsidP="001F7B37">
      <w:pPr>
        <w:pStyle w:val="Subhead"/>
        <w:jc w:val="both"/>
        <w:rPr>
          <w:rFonts w:eastAsiaTheme="minorHAnsi" w:cstheme="minorHAnsi"/>
          <w:b w:val="0"/>
          <w:sz w:val="22"/>
          <w:szCs w:val="22"/>
          <w:lang w:bidi="ar-SA"/>
        </w:rPr>
      </w:pPr>
      <w:r w:rsidRPr="005C0F01">
        <w:rPr>
          <w:rFonts w:eastAsiaTheme="minorHAnsi" w:cstheme="minorHAnsi"/>
          <w:b w:val="0"/>
          <w:sz w:val="22"/>
          <w:szCs w:val="22"/>
          <w:lang w:bidi="ar-SA"/>
        </w:rPr>
        <w:t xml:space="preserve">As ED 341 does not specifically address for-profit public sector entities, we presume </w:t>
      </w:r>
      <w:r w:rsidR="00345CCC" w:rsidRPr="005C0F01">
        <w:rPr>
          <w:rFonts w:eastAsiaTheme="minorHAnsi" w:cstheme="minorHAnsi"/>
          <w:b w:val="0"/>
          <w:sz w:val="22"/>
          <w:szCs w:val="22"/>
          <w:lang w:bidi="ar-SA"/>
        </w:rPr>
        <w:t>the AASB</w:t>
      </w:r>
      <w:r w:rsidRPr="005C0F01">
        <w:rPr>
          <w:rFonts w:eastAsiaTheme="minorHAnsi" w:cstheme="minorHAnsi"/>
          <w:b w:val="0"/>
          <w:sz w:val="22"/>
          <w:szCs w:val="22"/>
          <w:lang w:bidi="ar-SA"/>
        </w:rPr>
        <w:t xml:space="preserve"> has concluded that </w:t>
      </w:r>
      <w:r w:rsidR="00345CCC" w:rsidRPr="005C0F01">
        <w:rPr>
          <w:rFonts w:eastAsiaTheme="minorHAnsi" w:cstheme="minorHAnsi"/>
          <w:b w:val="0"/>
          <w:sz w:val="22"/>
          <w:szCs w:val="22"/>
          <w:lang w:bidi="ar-SA"/>
        </w:rPr>
        <w:t>as the proposals relate to Tier 2 GPFS, this matter is not relevant to for-public sector entities.</w:t>
      </w:r>
    </w:p>
    <w:p w14:paraId="75085700" w14:textId="77777777" w:rsidR="00D27781" w:rsidRPr="005C0F01" w:rsidRDefault="00D27781" w:rsidP="00D27781">
      <w:pPr>
        <w:rPr>
          <w:rFonts w:ascii="Avenir LT Std 35 Light" w:hAnsi="Avenir LT Std 35 Light" w:cstheme="minorHAnsi"/>
          <w:sz w:val="22"/>
          <w:szCs w:val="22"/>
        </w:rPr>
      </w:pPr>
    </w:p>
    <w:tbl>
      <w:tblPr>
        <w:tblStyle w:val="TableGrid"/>
        <w:tblW w:w="0" w:type="auto"/>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ook w:val="04A0" w:firstRow="1" w:lastRow="0" w:firstColumn="1" w:lastColumn="0" w:noHBand="0" w:noVBand="1"/>
      </w:tblPr>
      <w:tblGrid>
        <w:gridCol w:w="10450"/>
      </w:tblGrid>
      <w:tr w:rsidR="0095418E" w:rsidRPr="00881C6E" w14:paraId="45209B94" w14:textId="77777777" w:rsidTr="00F0562E">
        <w:tc>
          <w:tcPr>
            <w:tcW w:w="10450" w:type="dxa"/>
          </w:tcPr>
          <w:p w14:paraId="390C2876" w14:textId="0325E22A" w:rsidR="00A277A1" w:rsidRPr="00881C6E" w:rsidRDefault="00A277A1" w:rsidP="00A277A1">
            <w:pPr>
              <w:spacing w:before="240" w:after="240"/>
              <w:jc w:val="both"/>
              <w:rPr>
                <w:rFonts w:ascii="Avenir LT Std 35 Light" w:hAnsi="Avenir LT Std 35 Light"/>
                <w:b/>
                <w:bCs/>
                <w:sz w:val="22"/>
                <w:szCs w:val="22"/>
              </w:rPr>
            </w:pPr>
            <w:r w:rsidRPr="00881C6E">
              <w:rPr>
                <w:rFonts w:ascii="Avenir LT Std 35 Light" w:hAnsi="Avenir LT Std 35 Light"/>
                <w:b/>
                <w:bCs/>
                <w:sz w:val="22"/>
                <w:szCs w:val="22"/>
              </w:rPr>
              <w:t>5</w:t>
            </w:r>
            <w:r w:rsidR="00B17D52" w:rsidRPr="00881C6E">
              <w:rPr>
                <w:rFonts w:ascii="Avenir LT Std 35 Light" w:hAnsi="Avenir LT Std 35 Light"/>
                <w:b/>
                <w:bCs/>
                <w:sz w:val="22"/>
                <w:szCs w:val="22"/>
              </w:rPr>
              <w:t>)</w:t>
            </w:r>
            <w:r w:rsidRPr="00881C6E">
              <w:rPr>
                <w:rFonts w:ascii="Avenir LT Std 35 Light" w:hAnsi="Avenir LT Std 35 Light"/>
                <w:b/>
                <w:bCs/>
                <w:sz w:val="22"/>
                <w:szCs w:val="22"/>
              </w:rPr>
              <w:t xml:space="preserve"> ED 338 did not propose any specific reliefs for NFP private sector entities preparing Tier 1 GPFS but sought feedback on whether applying AASB 18 and the revised AASB 107 requirements is suitable for these entities. Do you agree with the approach that, should the AASB decide, in view of stakeholder feedback, to provide any relief to NFP private sector entities from complying with the new presentation requirements in AASB 18 and AASB 107, the same relief should also be provided to NFP private sector entities preparing Tier 2 GPFS? </w:t>
            </w:r>
          </w:p>
          <w:p w14:paraId="6DA74575" w14:textId="227909AA" w:rsidR="0095418E" w:rsidRPr="00881C6E" w:rsidRDefault="00A277A1" w:rsidP="00A277A1">
            <w:pPr>
              <w:spacing w:before="240" w:after="240"/>
              <w:jc w:val="both"/>
              <w:rPr>
                <w:rFonts w:ascii="Avenir LT Std 35 Light" w:hAnsi="Avenir LT Std 35 Light"/>
                <w:b/>
                <w:bCs/>
                <w:sz w:val="22"/>
                <w:szCs w:val="22"/>
              </w:rPr>
            </w:pPr>
            <w:r w:rsidRPr="00881C6E">
              <w:rPr>
                <w:rFonts w:ascii="Avenir LT Std 35 Light" w:hAnsi="Avenir LT Std 35 Light"/>
                <w:b/>
                <w:bCs/>
                <w:sz w:val="22"/>
                <w:szCs w:val="22"/>
              </w:rPr>
              <w:t>If you disagree with this approach, please explain why.</w:t>
            </w:r>
          </w:p>
        </w:tc>
      </w:tr>
    </w:tbl>
    <w:p w14:paraId="4509D9BE" w14:textId="68E3BE17" w:rsidR="00253A43" w:rsidRPr="005C0F01" w:rsidRDefault="002D15AF" w:rsidP="003F3666">
      <w:pPr>
        <w:pStyle w:val="Subhead"/>
        <w:jc w:val="both"/>
        <w:rPr>
          <w:rFonts w:eastAsiaTheme="minorHAnsi" w:cstheme="minorHAnsi"/>
          <w:b w:val="0"/>
          <w:sz w:val="22"/>
          <w:szCs w:val="22"/>
          <w:lang w:bidi="ar-SA"/>
        </w:rPr>
      </w:pPr>
      <w:r w:rsidRPr="005C0F01">
        <w:rPr>
          <w:rFonts w:eastAsiaTheme="minorHAnsi" w:cstheme="minorHAnsi"/>
          <w:b w:val="0"/>
          <w:sz w:val="22"/>
          <w:szCs w:val="22"/>
          <w:lang w:bidi="ar-SA"/>
        </w:rPr>
        <w:t>We agree</w:t>
      </w:r>
      <w:r w:rsidR="003F3666" w:rsidRPr="005C0F01">
        <w:rPr>
          <w:rFonts w:eastAsiaTheme="minorHAnsi" w:cstheme="minorHAnsi"/>
          <w:b w:val="0"/>
          <w:sz w:val="22"/>
          <w:szCs w:val="22"/>
          <w:lang w:bidi="ar-SA"/>
        </w:rPr>
        <w:t xml:space="preserve"> </w:t>
      </w:r>
      <w:r w:rsidRPr="005C0F01">
        <w:rPr>
          <w:rFonts w:eastAsiaTheme="minorHAnsi" w:cstheme="minorHAnsi"/>
          <w:b w:val="0"/>
          <w:sz w:val="22"/>
          <w:szCs w:val="22"/>
          <w:lang w:bidi="ar-SA"/>
        </w:rPr>
        <w:t>with the approach</w:t>
      </w:r>
      <w:r w:rsidR="003F3666" w:rsidRPr="005C0F01">
        <w:rPr>
          <w:rFonts w:eastAsiaTheme="minorHAnsi" w:cstheme="minorHAnsi"/>
          <w:b w:val="0"/>
          <w:sz w:val="22"/>
          <w:szCs w:val="22"/>
          <w:lang w:bidi="ar-SA"/>
        </w:rPr>
        <w:t>.</w:t>
      </w:r>
      <w:r w:rsidRPr="005C0F01">
        <w:rPr>
          <w:rFonts w:eastAsiaTheme="minorHAnsi" w:cstheme="minorHAnsi"/>
          <w:b w:val="0"/>
          <w:sz w:val="22"/>
          <w:szCs w:val="22"/>
          <w:lang w:bidi="ar-SA"/>
        </w:rPr>
        <w:t xml:space="preserve"> </w:t>
      </w:r>
      <w:r w:rsidR="003F3666" w:rsidRPr="005C0F01">
        <w:rPr>
          <w:rFonts w:eastAsiaTheme="minorHAnsi" w:cstheme="minorHAnsi"/>
          <w:b w:val="0"/>
          <w:sz w:val="22"/>
          <w:szCs w:val="22"/>
          <w:lang w:bidi="ar-SA"/>
        </w:rPr>
        <w:t>As stated in our submission</w:t>
      </w:r>
      <w:r w:rsidR="00D0639D" w:rsidRPr="005C0F01">
        <w:rPr>
          <w:rFonts w:eastAsiaTheme="minorHAnsi" w:cstheme="minorHAnsi"/>
          <w:b w:val="0"/>
          <w:sz w:val="22"/>
          <w:szCs w:val="22"/>
          <w:lang w:bidi="ar-SA"/>
        </w:rPr>
        <w:t>s</w:t>
      </w:r>
      <w:r w:rsidR="003F3666" w:rsidRPr="005C0F01">
        <w:rPr>
          <w:rFonts w:eastAsiaTheme="minorHAnsi" w:cstheme="minorHAnsi"/>
          <w:b w:val="0"/>
          <w:sz w:val="22"/>
          <w:szCs w:val="22"/>
          <w:lang w:bidi="ar-SA"/>
        </w:rPr>
        <w:t xml:space="preserve"> to </w:t>
      </w:r>
      <w:r w:rsidR="00156387" w:rsidRPr="005C0F01">
        <w:rPr>
          <w:b w:val="0"/>
          <w:sz w:val="22"/>
          <w:szCs w:val="22"/>
        </w:rPr>
        <w:t>ITC 56</w:t>
      </w:r>
      <w:r w:rsidR="003F3666" w:rsidRPr="005C0F01">
        <w:rPr>
          <w:rFonts w:eastAsiaTheme="minorHAnsi" w:cstheme="minorHAnsi"/>
          <w:b w:val="0"/>
          <w:sz w:val="22"/>
          <w:szCs w:val="22"/>
          <w:lang w:bidi="ar-SA"/>
        </w:rPr>
        <w:t xml:space="preserve">, </w:t>
      </w:r>
      <w:r w:rsidR="00156387" w:rsidRPr="005C0F01">
        <w:rPr>
          <w:b w:val="0"/>
          <w:sz w:val="22"/>
          <w:szCs w:val="22"/>
        </w:rPr>
        <w:t>ED 338</w:t>
      </w:r>
      <w:r w:rsidR="003F3666" w:rsidRPr="005C0F01">
        <w:rPr>
          <w:rFonts w:eastAsiaTheme="minorHAnsi" w:cstheme="minorHAnsi"/>
          <w:b w:val="0"/>
          <w:sz w:val="22"/>
          <w:szCs w:val="22"/>
          <w:lang w:bidi="ar-SA"/>
        </w:rPr>
        <w:t xml:space="preserve"> and </w:t>
      </w:r>
      <w:r w:rsidR="00D0639D" w:rsidRPr="005C0F01">
        <w:rPr>
          <w:rFonts w:eastAsiaTheme="minorHAnsi" w:cstheme="minorHAnsi"/>
          <w:b w:val="0"/>
          <w:sz w:val="22"/>
          <w:szCs w:val="22"/>
          <w:lang w:bidi="ar-SA"/>
        </w:rPr>
        <w:t>the AASB 18 su</w:t>
      </w:r>
      <w:r w:rsidR="00156387" w:rsidRPr="005C0F01">
        <w:rPr>
          <w:b w:val="0"/>
          <w:sz w:val="22"/>
          <w:szCs w:val="22"/>
        </w:rPr>
        <w:t xml:space="preserve">pplementary </w:t>
      </w:r>
      <w:r w:rsidR="00D0639D" w:rsidRPr="005C0F01">
        <w:rPr>
          <w:rFonts w:eastAsiaTheme="minorHAnsi" w:cstheme="minorHAnsi"/>
          <w:b w:val="0"/>
          <w:sz w:val="22"/>
          <w:szCs w:val="22"/>
          <w:lang w:bidi="ar-SA"/>
        </w:rPr>
        <w:t>c</w:t>
      </w:r>
      <w:r w:rsidR="00156387" w:rsidRPr="005C0F01">
        <w:rPr>
          <w:b w:val="0"/>
          <w:sz w:val="22"/>
          <w:szCs w:val="22"/>
        </w:rPr>
        <w:t>onsultation</w:t>
      </w:r>
      <w:r w:rsidR="003F3666" w:rsidRPr="005C0F01">
        <w:rPr>
          <w:rFonts w:eastAsiaTheme="minorHAnsi" w:cstheme="minorHAnsi"/>
          <w:b w:val="0"/>
          <w:sz w:val="22"/>
          <w:szCs w:val="22"/>
          <w:lang w:bidi="ar-SA"/>
        </w:rPr>
        <w:t xml:space="preserve">, we support applying the core AASB 18 classification framework to NFP entities, including Tier 2 NFP entities. </w:t>
      </w:r>
      <w:r w:rsidR="00253A43" w:rsidRPr="005C0F01">
        <w:rPr>
          <w:rFonts w:eastAsiaTheme="minorHAnsi" w:cstheme="minorHAnsi"/>
          <w:b w:val="0"/>
          <w:sz w:val="22"/>
          <w:szCs w:val="22"/>
          <w:lang w:bidi="ar-SA"/>
        </w:rPr>
        <w:t>However, as noted in the cover letter above and articulated in more detail in our submission to ED 338</w:t>
      </w:r>
      <w:r w:rsidR="00E31563" w:rsidRPr="005C0F01">
        <w:rPr>
          <w:rFonts w:eastAsiaTheme="minorHAnsi" w:cstheme="minorHAnsi"/>
          <w:b w:val="0"/>
          <w:sz w:val="22"/>
          <w:szCs w:val="22"/>
          <w:lang w:bidi="ar-SA"/>
        </w:rPr>
        <w:t>, this support is conditional to reflect the mixed feedback we received from stakeholders on the application of AASB 18 requirements to NFP private sector entities preparing Tier 1 GPFS.</w:t>
      </w:r>
    </w:p>
    <w:p w14:paraId="13905873" w14:textId="329CEC0E" w:rsidR="00253A43" w:rsidRPr="005C0F01" w:rsidRDefault="0049581F" w:rsidP="003F3666">
      <w:pPr>
        <w:pStyle w:val="Subhead"/>
        <w:jc w:val="both"/>
        <w:rPr>
          <w:rFonts w:eastAsiaTheme="minorHAnsi" w:cstheme="minorHAnsi"/>
          <w:b w:val="0"/>
          <w:sz w:val="22"/>
          <w:szCs w:val="22"/>
          <w:lang w:bidi="ar-SA"/>
        </w:rPr>
      </w:pPr>
      <w:r w:rsidRPr="005C0F01">
        <w:rPr>
          <w:rFonts w:eastAsiaTheme="minorHAnsi" w:cstheme="minorHAnsi"/>
          <w:b w:val="0"/>
          <w:sz w:val="22"/>
          <w:szCs w:val="22"/>
          <w:lang w:bidi="ar-SA"/>
        </w:rPr>
        <w:t xml:space="preserve">We extend the same conditional support to the proposals that relate specifically to the classification and presentation requirements of AASB 18 </w:t>
      </w:r>
      <w:r w:rsidR="005A2854" w:rsidRPr="005C0F01">
        <w:rPr>
          <w:rFonts w:eastAsiaTheme="minorHAnsi" w:cstheme="minorHAnsi"/>
          <w:b w:val="0"/>
          <w:sz w:val="22"/>
          <w:szCs w:val="22"/>
          <w:lang w:bidi="ar-SA"/>
        </w:rPr>
        <w:t xml:space="preserve">considered as part of ED 341, for Tier 2 GPFS. This support is conditional on the basis the AASB undertakes </w:t>
      </w:r>
      <w:r w:rsidR="006A7F13" w:rsidRPr="005C0F01">
        <w:rPr>
          <w:rFonts w:eastAsiaTheme="minorHAnsi" w:cstheme="minorHAnsi"/>
          <w:b w:val="0"/>
          <w:sz w:val="22"/>
          <w:szCs w:val="22"/>
          <w:lang w:bidi="ar-SA"/>
        </w:rPr>
        <w:t xml:space="preserve">a post-implementation review of AASB 18 (and the equivalent requirements in AASB 1060) in due course </w:t>
      </w:r>
      <w:r w:rsidR="00E47C18" w:rsidRPr="005C0F01">
        <w:rPr>
          <w:rFonts w:eastAsiaTheme="minorHAnsi" w:cstheme="minorHAnsi"/>
          <w:b w:val="0"/>
          <w:sz w:val="22"/>
          <w:szCs w:val="22"/>
          <w:lang w:bidi="ar-SA"/>
        </w:rPr>
        <w:t>to ensure the costs of applying these requirements do not exceed the benefits arising.</w:t>
      </w:r>
    </w:p>
    <w:p w14:paraId="652DF658" w14:textId="252D8492" w:rsidR="003F3666" w:rsidRPr="005C0F01" w:rsidRDefault="003F3666" w:rsidP="003F3666">
      <w:pPr>
        <w:pStyle w:val="Subhead"/>
        <w:jc w:val="both"/>
        <w:rPr>
          <w:rFonts w:eastAsiaTheme="minorHAnsi" w:cstheme="minorHAnsi"/>
          <w:b w:val="0"/>
          <w:sz w:val="22"/>
          <w:szCs w:val="22"/>
          <w:lang w:bidi="ar-SA"/>
        </w:rPr>
      </w:pPr>
      <w:r w:rsidRPr="005C0F01">
        <w:rPr>
          <w:rFonts w:eastAsiaTheme="minorHAnsi" w:cstheme="minorHAnsi"/>
          <w:b w:val="0"/>
          <w:sz w:val="22"/>
          <w:szCs w:val="22"/>
          <w:lang w:bidi="ar-SA"/>
        </w:rPr>
        <w:t xml:space="preserve">We </w:t>
      </w:r>
      <w:r w:rsidR="00927D47" w:rsidRPr="005C0F01">
        <w:rPr>
          <w:rFonts w:eastAsiaTheme="minorHAnsi" w:cstheme="minorHAnsi"/>
          <w:b w:val="0"/>
          <w:sz w:val="22"/>
          <w:szCs w:val="22"/>
          <w:lang w:bidi="ar-SA"/>
        </w:rPr>
        <w:t>also support development and provision of</w:t>
      </w:r>
      <w:r w:rsidRPr="005C0F01">
        <w:rPr>
          <w:rFonts w:eastAsiaTheme="minorHAnsi" w:cstheme="minorHAnsi"/>
          <w:b w:val="0"/>
          <w:sz w:val="22"/>
          <w:szCs w:val="22"/>
          <w:lang w:bidi="ar-SA"/>
        </w:rPr>
        <w:t xml:space="preserve"> further implementation guidance</w:t>
      </w:r>
      <w:r w:rsidR="00927D47" w:rsidRPr="005C0F01">
        <w:rPr>
          <w:rFonts w:eastAsiaTheme="minorHAnsi" w:cstheme="minorHAnsi"/>
          <w:b w:val="0"/>
          <w:sz w:val="22"/>
          <w:szCs w:val="22"/>
          <w:lang w:bidi="ar-SA"/>
        </w:rPr>
        <w:t xml:space="preserve"> and illustrative examples </w:t>
      </w:r>
      <w:r w:rsidR="00E756EA" w:rsidRPr="005C0F01">
        <w:rPr>
          <w:rFonts w:eastAsiaTheme="minorHAnsi" w:cstheme="minorHAnsi"/>
          <w:b w:val="0"/>
          <w:sz w:val="22"/>
          <w:szCs w:val="22"/>
          <w:lang w:bidi="ar-SA"/>
        </w:rPr>
        <w:t>to mitigate judgement-driven inconsistencies and counterintuitive presentation outcomes</w:t>
      </w:r>
      <w:r w:rsidRPr="005C0F01">
        <w:rPr>
          <w:rFonts w:eastAsiaTheme="minorHAnsi" w:cstheme="minorHAnsi"/>
          <w:b w:val="0"/>
          <w:sz w:val="22"/>
          <w:szCs w:val="22"/>
          <w:lang w:bidi="ar-SA"/>
        </w:rPr>
        <w:t>.</w:t>
      </w:r>
    </w:p>
    <w:p w14:paraId="0EFD6332" w14:textId="5E4393FA" w:rsidR="0095418E" w:rsidRPr="005C0F01" w:rsidRDefault="00E756EA" w:rsidP="0095418E">
      <w:pPr>
        <w:pStyle w:val="Subhead"/>
        <w:jc w:val="both"/>
        <w:rPr>
          <w:rFonts w:eastAsiaTheme="minorHAnsi" w:cstheme="minorHAnsi"/>
          <w:b w:val="0"/>
          <w:sz w:val="22"/>
          <w:szCs w:val="22"/>
          <w:lang w:bidi="ar-SA"/>
        </w:rPr>
      </w:pPr>
      <w:r w:rsidRPr="005C0F01">
        <w:rPr>
          <w:rFonts w:eastAsiaTheme="minorHAnsi" w:cstheme="minorHAnsi"/>
          <w:b w:val="0"/>
          <w:sz w:val="22"/>
          <w:szCs w:val="22"/>
          <w:lang w:bidi="ar-SA"/>
        </w:rPr>
        <w:t>Furthermore</w:t>
      </w:r>
      <w:r w:rsidR="003F3666" w:rsidRPr="005C0F01">
        <w:rPr>
          <w:rFonts w:eastAsiaTheme="minorHAnsi" w:cstheme="minorHAnsi"/>
          <w:b w:val="0"/>
          <w:sz w:val="22"/>
          <w:szCs w:val="22"/>
          <w:lang w:bidi="ar-SA"/>
        </w:rPr>
        <w:t>, where the AASB determines that NFP-specific relief is appropriate for Tier 1 NFP private sector entities, we consider that equivalent relief should also be considered for Tier 2 entities, where applicable. This would maintain consistency between the two tiers while appropriately recognising the circumstances of NFP entities.</w:t>
      </w:r>
    </w:p>
    <w:p w14:paraId="52108627" w14:textId="77777777" w:rsidR="00D27781" w:rsidRPr="00D27781" w:rsidRDefault="00D27781" w:rsidP="00D27781"/>
    <w:tbl>
      <w:tblPr>
        <w:tblStyle w:val="TableGrid"/>
        <w:tblW w:w="0" w:type="auto"/>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ook w:val="04A0" w:firstRow="1" w:lastRow="0" w:firstColumn="1" w:lastColumn="0" w:noHBand="0" w:noVBand="1"/>
      </w:tblPr>
      <w:tblGrid>
        <w:gridCol w:w="10450"/>
      </w:tblGrid>
      <w:tr w:rsidR="0095418E" w:rsidRPr="00881C6E" w14:paraId="26887935" w14:textId="77777777" w:rsidTr="00F0562E">
        <w:tc>
          <w:tcPr>
            <w:tcW w:w="10450" w:type="dxa"/>
          </w:tcPr>
          <w:p w14:paraId="29D33441" w14:textId="740D3A3E" w:rsidR="0095418E" w:rsidRPr="00881C6E" w:rsidRDefault="009729AC" w:rsidP="00F0562E">
            <w:pPr>
              <w:spacing w:before="240" w:after="240"/>
              <w:jc w:val="both"/>
              <w:rPr>
                <w:rFonts w:ascii="Avenir LT Std 35 Light" w:hAnsi="Avenir LT Std 35 Light"/>
                <w:b/>
                <w:bCs/>
                <w:sz w:val="22"/>
                <w:szCs w:val="22"/>
              </w:rPr>
            </w:pPr>
            <w:r w:rsidRPr="00881C6E">
              <w:rPr>
                <w:rFonts w:ascii="Avenir LT Std 35 Light" w:hAnsi="Avenir LT Std 35 Light"/>
                <w:b/>
                <w:bCs/>
                <w:sz w:val="22"/>
                <w:szCs w:val="22"/>
              </w:rPr>
              <w:lastRenderedPageBreak/>
              <w:t>6</w:t>
            </w:r>
            <w:r w:rsidR="00866B28" w:rsidRPr="00881C6E">
              <w:rPr>
                <w:rFonts w:ascii="Avenir LT Std 35 Light" w:hAnsi="Avenir LT Std 35 Light"/>
                <w:b/>
                <w:bCs/>
                <w:sz w:val="22"/>
                <w:szCs w:val="22"/>
              </w:rPr>
              <w:t>)</w:t>
            </w:r>
            <w:r w:rsidRPr="00881C6E">
              <w:rPr>
                <w:rFonts w:ascii="Avenir LT Std 35 Light" w:hAnsi="Avenir LT Std 35 Light"/>
                <w:b/>
                <w:bCs/>
                <w:sz w:val="22"/>
                <w:szCs w:val="22"/>
              </w:rPr>
              <w:t xml:space="preserve"> Do you have any other comments on the proposals?</w:t>
            </w:r>
          </w:p>
        </w:tc>
      </w:tr>
    </w:tbl>
    <w:p w14:paraId="71B14441" w14:textId="4FEC1DDC" w:rsidR="00347782" w:rsidRPr="005C0F01" w:rsidRDefault="00347782" w:rsidP="00347782">
      <w:pPr>
        <w:pStyle w:val="Subhead"/>
        <w:jc w:val="both"/>
        <w:rPr>
          <w:rFonts w:eastAsiaTheme="minorHAnsi" w:cstheme="minorHAnsi"/>
          <w:b w:val="0"/>
          <w:sz w:val="22"/>
          <w:szCs w:val="22"/>
          <w:lang w:bidi="ar-SA"/>
        </w:rPr>
      </w:pPr>
      <w:r w:rsidRPr="005C0F01">
        <w:rPr>
          <w:rFonts w:eastAsiaTheme="minorHAnsi" w:cstheme="minorHAnsi"/>
          <w:b w:val="0"/>
          <w:sz w:val="22"/>
          <w:szCs w:val="22"/>
          <w:lang w:bidi="ar-SA"/>
        </w:rPr>
        <w:t>We have the following additional comments on the proposals.</w:t>
      </w:r>
    </w:p>
    <w:p w14:paraId="2E0AFCD9" w14:textId="4CF843E5" w:rsidR="00347782" w:rsidRPr="005C0F01" w:rsidRDefault="00347782" w:rsidP="00347782">
      <w:pPr>
        <w:pStyle w:val="Subhead"/>
        <w:jc w:val="both"/>
        <w:rPr>
          <w:rFonts w:eastAsiaTheme="minorHAnsi" w:cstheme="minorHAnsi"/>
          <w:b w:val="0"/>
          <w:sz w:val="22"/>
          <w:szCs w:val="22"/>
          <w:lang w:bidi="ar-SA"/>
        </w:rPr>
      </w:pPr>
      <w:r w:rsidRPr="005C0F01">
        <w:rPr>
          <w:rFonts w:eastAsiaTheme="minorHAnsi" w:cstheme="minorHAnsi"/>
          <w:b w:val="0"/>
          <w:sz w:val="22"/>
          <w:szCs w:val="22"/>
          <w:lang w:bidi="ar-SA"/>
        </w:rPr>
        <w:t>As stated in our submission</w:t>
      </w:r>
      <w:r w:rsidR="00D26E37" w:rsidRPr="005C0F01">
        <w:rPr>
          <w:rFonts w:eastAsiaTheme="minorHAnsi" w:cstheme="minorHAnsi"/>
          <w:b w:val="0"/>
          <w:sz w:val="22"/>
          <w:szCs w:val="22"/>
          <w:lang w:bidi="ar-SA"/>
        </w:rPr>
        <w:t>s</w:t>
      </w:r>
      <w:r w:rsidRPr="005C0F01">
        <w:rPr>
          <w:rFonts w:eastAsiaTheme="minorHAnsi" w:cstheme="minorHAnsi"/>
          <w:b w:val="0"/>
          <w:sz w:val="22"/>
          <w:szCs w:val="22"/>
          <w:lang w:bidi="ar-SA"/>
        </w:rPr>
        <w:t xml:space="preserve"> to </w:t>
      </w:r>
      <w:r w:rsidR="00D26E37" w:rsidRPr="005C0F01">
        <w:rPr>
          <w:b w:val="0"/>
          <w:sz w:val="22"/>
          <w:szCs w:val="22"/>
        </w:rPr>
        <w:t>ED 338</w:t>
      </w:r>
      <w:r w:rsidRPr="005C0F01">
        <w:rPr>
          <w:rFonts w:eastAsiaTheme="minorHAnsi" w:cstheme="minorHAnsi"/>
          <w:b w:val="0"/>
          <w:sz w:val="22"/>
          <w:szCs w:val="22"/>
          <w:lang w:bidi="ar-SA"/>
        </w:rPr>
        <w:t xml:space="preserve"> and</w:t>
      </w:r>
      <w:r w:rsidR="00D26E37" w:rsidRPr="005C0F01">
        <w:rPr>
          <w:rFonts w:eastAsiaTheme="minorHAnsi" w:cstheme="minorHAnsi"/>
          <w:b w:val="0"/>
          <w:sz w:val="22"/>
          <w:szCs w:val="22"/>
          <w:lang w:bidi="ar-SA"/>
        </w:rPr>
        <w:t xml:space="preserve"> the AASB 18</w:t>
      </w:r>
      <w:r w:rsidRPr="005C0F01">
        <w:rPr>
          <w:rFonts w:eastAsiaTheme="minorHAnsi" w:cstheme="minorHAnsi"/>
          <w:b w:val="0"/>
          <w:sz w:val="22"/>
          <w:szCs w:val="22"/>
          <w:lang w:bidi="ar-SA"/>
        </w:rPr>
        <w:t xml:space="preserve"> </w:t>
      </w:r>
      <w:r w:rsidR="00D26E37" w:rsidRPr="005C0F01">
        <w:rPr>
          <w:rFonts w:eastAsiaTheme="minorHAnsi" w:cstheme="minorHAnsi"/>
          <w:b w:val="0"/>
          <w:sz w:val="22"/>
          <w:szCs w:val="22"/>
          <w:lang w:bidi="ar-SA"/>
        </w:rPr>
        <w:t>s</w:t>
      </w:r>
      <w:r w:rsidR="00D26E37" w:rsidRPr="005C0F01">
        <w:rPr>
          <w:b w:val="0"/>
          <w:sz w:val="22"/>
          <w:szCs w:val="22"/>
        </w:rPr>
        <w:t xml:space="preserve">upplementary </w:t>
      </w:r>
      <w:r w:rsidR="00D26E37" w:rsidRPr="005C0F01">
        <w:rPr>
          <w:rFonts w:eastAsiaTheme="minorHAnsi" w:cstheme="minorHAnsi"/>
          <w:b w:val="0"/>
          <w:sz w:val="22"/>
          <w:szCs w:val="22"/>
          <w:lang w:bidi="ar-SA"/>
        </w:rPr>
        <w:t>c</w:t>
      </w:r>
      <w:r w:rsidR="00D26E37" w:rsidRPr="005C0F01">
        <w:rPr>
          <w:b w:val="0"/>
          <w:sz w:val="22"/>
          <w:szCs w:val="22"/>
        </w:rPr>
        <w:t>onsultation</w:t>
      </w:r>
      <w:r w:rsidRPr="005C0F01">
        <w:rPr>
          <w:rFonts w:eastAsiaTheme="minorHAnsi" w:cstheme="minorHAnsi"/>
          <w:b w:val="0"/>
          <w:sz w:val="22"/>
          <w:szCs w:val="22"/>
          <w:lang w:bidi="ar-SA"/>
        </w:rPr>
        <w:t xml:space="preserve">, we consider that additional implementation guidance and illustrative examples would assist entities in applying AASB 18, particularly in the NFP sector where certain requirements may not operate as intuitively. We also encourage the AASB to consider the comparability impacts of the new requirements for universities and NFP </w:t>
      </w:r>
      <w:r w:rsidR="004166BF" w:rsidRPr="005C0F01">
        <w:rPr>
          <w:rFonts w:eastAsiaTheme="minorHAnsi" w:cstheme="minorHAnsi"/>
          <w:b w:val="0"/>
          <w:sz w:val="22"/>
          <w:szCs w:val="22"/>
          <w:lang w:bidi="ar-SA"/>
        </w:rPr>
        <w:t xml:space="preserve">private-sector </w:t>
      </w:r>
      <w:r w:rsidRPr="005C0F01">
        <w:rPr>
          <w:rFonts w:eastAsiaTheme="minorHAnsi" w:cstheme="minorHAnsi"/>
          <w:b w:val="0"/>
          <w:sz w:val="22"/>
          <w:szCs w:val="22"/>
          <w:lang w:bidi="ar-SA"/>
        </w:rPr>
        <w:t>entities.</w:t>
      </w:r>
    </w:p>
    <w:p w14:paraId="4C7A3F14" w14:textId="5452BD18" w:rsidR="00347782" w:rsidRPr="005C0F01" w:rsidRDefault="00347782" w:rsidP="00347782">
      <w:pPr>
        <w:pStyle w:val="Subhead"/>
        <w:jc w:val="both"/>
        <w:rPr>
          <w:rFonts w:eastAsiaTheme="minorHAnsi" w:cstheme="minorHAnsi"/>
          <w:b w:val="0"/>
          <w:sz w:val="22"/>
          <w:szCs w:val="22"/>
          <w:lang w:bidi="ar-SA"/>
        </w:rPr>
      </w:pPr>
      <w:r w:rsidRPr="005C0F01">
        <w:rPr>
          <w:rFonts w:eastAsiaTheme="minorHAnsi" w:cstheme="minorHAnsi"/>
          <w:b w:val="0"/>
          <w:sz w:val="22"/>
          <w:szCs w:val="22"/>
          <w:lang w:bidi="ar-SA"/>
        </w:rPr>
        <w:t xml:space="preserve">We also encourage the AASB to </w:t>
      </w:r>
      <w:r w:rsidR="00954A4E" w:rsidRPr="005C0F01">
        <w:rPr>
          <w:rFonts w:eastAsiaTheme="minorHAnsi" w:cstheme="minorHAnsi"/>
          <w:b w:val="0"/>
          <w:sz w:val="22"/>
          <w:szCs w:val="22"/>
          <w:lang w:bidi="ar-SA"/>
        </w:rPr>
        <w:t xml:space="preserve">continue monitor developments relating to </w:t>
      </w:r>
      <w:r w:rsidRPr="005C0F01">
        <w:rPr>
          <w:rFonts w:eastAsiaTheme="minorHAnsi" w:cstheme="minorHAnsi"/>
          <w:b w:val="0"/>
          <w:sz w:val="22"/>
          <w:szCs w:val="22"/>
          <w:lang w:bidi="ar-SA"/>
        </w:rPr>
        <w:t xml:space="preserve">the IFRS Interpretations Committee's consideration of </w:t>
      </w:r>
      <w:r w:rsidR="00A77E81" w:rsidRPr="005C0F01">
        <w:rPr>
          <w:rFonts w:eastAsiaTheme="minorHAnsi" w:cstheme="minorHAnsi"/>
          <w:b w:val="0"/>
          <w:sz w:val="22"/>
          <w:szCs w:val="22"/>
          <w:lang w:bidi="ar-SA"/>
        </w:rPr>
        <w:t xml:space="preserve">a number of </w:t>
      </w:r>
      <w:r w:rsidRPr="005C0F01">
        <w:rPr>
          <w:rFonts w:eastAsiaTheme="minorHAnsi" w:cstheme="minorHAnsi"/>
          <w:b w:val="0"/>
          <w:sz w:val="22"/>
          <w:szCs w:val="22"/>
          <w:lang w:bidi="ar-SA"/>
        </w:rPr>
        <w:t xml:space="preserve">IFRS 18 </w:t>
      </w:r>
      <w:r w:rsidR="004166BF" w:rsidRPr="005C0F01">
        <w:rPr>
          <w:rFonts w:eastAsiaTheme="minorHAnsi" w:cstheme="minorHAnsi"/>
          <w:b w:val="0"/>
          <w:sz w:val="22"/>
          <w:szCs w:val="22"/>
          <w:lang w:bidi="ar-SA"/>
        </w:rPr>
        <w:t xml:space="preserve">interpretation and </w:t>
      </w:r>
      <w:r w:rsidRPr="005C0F01">
        <w:rPr>
          <w:rFonts w:eastAsiaTheme="minorHAnsi" w:cstheme="minorHAnsi"/>
          <w:b w:val="0"/>
          <w:sz w:val="22"/>
          <w:szCs w:val="22"/>
          <w:lang w:bidi="ar-SA"/>
        </w:rPr>
        <w:t xml:space="preserve">application issues. At the time of preparing this submission, seven IFRS 18-related tentative agenda decisions are open for comment, covering matters including </w:t>
      </w:r>
      <w:r w:rsidR="00B70B70" w:rsidRPr="005C0F01">
        <w:rPr>
          <w:rFonts w:eastAsiaTheme="minorHAnsi" w:cstheme="minorHAnsi"/>
          <w:b w:val="0"/>
          <w:sz w:val="22"/>
          <w:szCs w:val="22"/>
          <w:lang w:bidi="ar-SA"/>
        </w:rPr>
        <w:t>MPMs</w:t>
      </w:r>
      <w:r w:rsidRPr="005C0F01">
        <w:rPr>
          <w:rFonts w:eastAsiaTheme="minorHAnsi" w:cstheme="minorHAnsi"/>
          <w:b w:val="0"/>
          <w:sz w:val="22"/>
          <w:szCs w:val="22"/>
          <w:lang w:bidi="ar-SA"/>
        </w:rPr>
        <w:t>, classification of income and expenses, specified main business activities, labels of subtotals and presentation of operating expenses.</w:t>
      </w:r>
    </w:p>
    <w:p w14:paraId="0530CB4A" w14:textId="0499EF1D" w:rsidR="00497A2C" w:rsidRPr="005C0F01" w:rsidRDefault="00347782" w:rsidP="00347782">
      <w:pPr>
        <w:pStyle w:val="Subhead"/>
        <w:jc w:val="both"/>
        <w:rPr>
          <w:rFonts w:eastAsiaTheme="minorHAnsi" w:cstheme="minorHAnsi"/>
          <w:b w:val="0"/>
          <w:sz w:val="22"/>
          <w:szCs w:val="22"/>
          <w:lang w:bidi="ar-SA"/>
        </w:rPr>
      </w:pPr>
      <w:r w:rsidRPr="005C0F01">
        <w:rPr>
          <w:rFonts w:eastAsiaTheme="minorHAnsi" w:cstheme="minorHAnsi"/>
          <w:b w:val="0"/>
          <w:sz w:val="22"/>
          <w:szCs w:val="22"/>
          <w:lang w:bidi="ar-SA"/>
        </w:rPr>
        <w:t xml:space="preserve">Given that further agenda decisions or other clarifications relating to IFRS 18 may arise as implementation progresses, we encourage the AASB to </w:t>
      </w:r>
      <w:r w:rsidR="003A1494" w:rsidRPr="005C0F01">
        <w:rPr>
          <w:rFonts w:eastAsiaTheme="minorHAnsi" w:cstheme="minorHAnsi"/>
          <w:b w:val="0"/>
          <w:sz w:val="22"/>
          <w:szCs w:val="22"/>
          <w:lang w:bidi="ar-SA"/>
        </w:rPr>
        <w:t xml:space="preserve">consider </w:t>
      </w:r>
      <w:r w:rsidRPr="005C0F01">
        <w:rPr>
          <w:rFonts w:eastAsiaTheme="minorHAnsi" w:cstheme="minorHAnsi"/>
          <w:b w:val="0"/>
          <w:sz w:val="22"/>
          <w:szCs w:val="22"/>
          <w:lang w:bidi="ar-SA"/>
        </w:rPr>
        <w:t xml:space="preserve">the implications of those developments when finalising the amendments to AASB 1060. This will help ensure that the Tier 2 requirements remain aligned with the interpretation and application of AASB 18 and </w:t>
      </w:r>
      <w:r w:rsidR="001320EA" w:rsidRPr="005C0F01">
        <w:rPr>
          <w:rFonts w:eastAsiaTheme="minorHAnsi" w:cstheme="minorHAnsi"/>
          <w:b w:val="0"/>
          <w:sz w:val="22"/>
          <w:szCs w:val="22"/>
          <w:lang w:bidi="ar-SA"/>
        </w:rPr>
        <w:t>reduce the need for subsequent amendments or clarification</w:t>
      </w:r>
      <w:r w:rsidRPr="005C0F01">
        <w:rPr>
          <w:rFonts w:eastAsiaTheme="minorHAnsi" w:cstheme="minorHAnsi"/>
          <w:b w:val="0"/>
          <w:sz w:val="22"/>
          <w:szCs w:val="22"/>
          <w:lang w:bidi="ar-SA"/>
        </w:rPr>
        <w:t xml:space="preserve">. </w:t>
      </w:r>
    </w:p>
    <w:p w14:paraId="51A1301E" w14:textId="77777777" w:rsidR="00D27781" w:rsidRPr="00D27781" w:rsidRDefault="00D27781" w:rsidP="00D27781"/>
    <w:p w14:paraId="224FF542" w14:textId="2707F17A" w:rsidR="00497A2C" w:rsidRDefault="00497A2C" w:rsidP="00497A2C">
      <w:pPr>
        <w:pStyle w:val="Subhead"/>
        <w:rPr>
          <w:lang w:bidi="ar-SA"/>
        </w:rPr>
      </w:pPr>
      <w:r w:rsidRPr="00497A2C">
        <w:rPr>
          <w:lang w:bidi="ar-SA"/>
        </w:rPr>
        <w:t>General matters for comment</w:t>
      </w:r>
    </w:p>
    <w:p w14:paraId="0C6B5F2F" w14:textId="66A9CA69" w:rsidR="00AC39F7" w:rsidRPr="00AC39F7" w:rsidRDefault="00AC39F7" w:rsidP="00AC39F7">
      <w:pPr>
        <w:pStyle w:val="BodyCopy"/>
      </w:pPr>
      <w:r w:rsidRPr="00AC39F7">
        <w:t>The AASB would also particularly value comments on the following general matters:</w:t>
      </w:r>
    </w:p>
    <w:tbl>
      <w:tblPr>
        <w:tblStyle w:val="TableGrid"/>
        <w:tblW w:w="0" w:type="auto"/>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ook w:val="04A0" w:firstRow="1" w:lastRow="0" w:firstColumn="1" w:lastColumn="0" w:noHBand="0" w:noVBand="1"/>
      </w:tblPr>
      <w:tblGrid>
        <w:gridCol w:w="10450"/>
      </w:tblGrid>
      <w:tr w:rsidR="0095418E" w:rsidRPr="00881C6E" w14:paraId="04F4DEC9" w14:textId="77777777" w:rsidTr="00F0562E">
        <w:tc>
          <w:tcPr>
            <w:tcW w:w="10450" w:type="dxa"/>
          </w:tcPr>
          <w:p w14:paraId="4D6DB63B" w14:textId="3BDBA31C" w:rsidR="0095418E" w:rsidRPr="00881C6E" w:rsidRDefault="00356B9C" w:rsidP="00F0562E">
            <w:pPr>
              <w:spacing w:before="240" w:after="240"/>
              <w:jc w:val="both"/>
              <w:rPr>
                <w:rFonts w:ascii="Avenir LT Std 35 Light" w:hAnsi="Avenir LT Std 35 Light"/>
                <w:b/>
                <w:bCs/>
                <w:sz w:val="22"/>
                <w:szCs w:val="22"/>
              </w:rPr>
            </w:pPr>
            <w:r w:rsidRPr="00881C6E">
              <w:rPr>
                <w:rFonts w:ascii="Avenir LT Std 35 Light" w:hAnsi="Avenir LT Std 35 Light"/>
                <w:b/>
                <w:bCs/>
                <w:sz w:val="22"/>
                <w:szCs w:val="22"/>
              </w:rPr>
              <w:t>7</w:t>
            </w:r>
            <w:r w:rsidR="00866B28" w:rsidRPr="00881C6E">
              <w:rPr>
                <w:rFonts w:ascii="Avenir LT Std 35 Light" w:hAnsi="Avenir LT Std 35 Light"/>
                <w:b/>
                <w:bCs/>
                <w:sz w:val="22"/>
                <w:szCs w:val="22"/>
              </w:rPr>
              <w:t>)</w:t>
            </w:r>
            <w:r w:rsidRPr="00881C6E">
              <w:rPr>
                <w:rFonts w:ascii="Avenir LT Std 35 Light" w:hAnsi="Avenir LT Std 35 Light"/>
                <w:b/>
                <w:bCs/>
                <w:sz w:val="22"/>
                <w:szCs w:val="22"/>
              </w:rPr>
              <w:t xml:space="preserve"> Have the AASB For-Profit Entity Standard-Setting Framework and the AASB Not-for-Profit Entity Standard-Setting Framework been applied appropriately in developing the proposals in this Exposure Draft?</w:t>
            </w:r>
          </w:p>
        </w:tc>
      </w:tr>
    </w:tbl>
    <w:p w14:paraId="340B9BC3" w14:textId="7CBADC7E" w:rsidR="00C14C6A" w:rsidRPr="005C0F01" w:rsidRDefault="00C14C6A" w:rsidP="00C14C6A">
      <w:pPr>
        <w:pStyle w:val="Subhead"/>
        <w:jc w:val="both"/>
        <w:rPr>
          <w:rFonts w:eastAsiaTheme="minorHAnsi" w:cstheme="minorHAnsi"/>
          <w:b w:val="0"/>
          <w:sz w:val="22"/>
          <w:szCs w:val="22"/>
          <w:lang w:bidi="ar-SA"/>
        </w:rPr>
      </w:pPr>
      <w:r w:rsidRPr="005C0F01">
        <w:rPr>
          <w:rFonts w:eastAsiaTheme="minorHAnsi" w:cstheme="minorHAnsi"/>
          <w:b w:val="0"/>
          <w:sz w:val="22"/>
          <w:szCs w:val="22"/>
          <w:lang w:bidi="ar-SA"/>
        </w:rPr>
        <w:t>As stated in our submission</w:t>
      </w:r>
      <w:r w:rsidR="00ED5994" w:rsidRPr="005C0F01">
        <w:rPr>
          <w:rFonts w:eastAsiaTheme="minorHAnsi" w:cstheme="minorHAnsi"/>
          <w:b w:val="0"/>
          <w:sz w:val="22"/>
          <w:szCs w:val="22"/>
          <w:lang w:bidi="ar-SA"/>
        </w:rPr>
        <w:t>s</w:t>
      </w:r>
      <w:r w:rsidRPr="005C0F01">
        <w:rPr>
          <w:rFonts w:eastAsiaTheme="minorHAnsi" w:cstheme="minorHAnsi"/>
          <w:b w:val="0"/>
          <w:sz w:val="22"/>
          <w:szCs w:val="22"/>
          <w:lang w:bidi="ar-SA"/>
        </w:rPr>
        <w:t xml:space="preserve"> to </w:t>
      </w:r>
      <w:r w:rsidR="00ED5994" w:rsidRPr="005C0F01">
        <w:rPr>
          <w:b w:val="0"/>
          <w:sz w:val="22"/>
          <w:szCs w:val="22"/>
        </w:rPr>
        <w:t>ITC 56</w:t>
      </w:r>
      <w:r w:rsidRPr="005C0F01">
        <w:rPr>
          <w:rFonts w:eastAsiaTheme="minorHAnsi" w:cstheme="minorHAnsi"/>
          <w:b w:val="0"/>
          <w:sz w:val="22"/>
          <w:szCs w:val="22"/>
          <w:lang w:bidi="ar-SA"/>
        </w:rPr>
        <w:t xml:space="preserve">, </w:t>
      </w:r>
      <w:r w:rsidR="00ED5994" w:rsidRPr="005C0F01">
        <w:rPr>
          <w:b w:val="0"/>
          <w:sz w:val="22"/>
          <w:szCs w:val="22"/>
        </w:rPr>
        <w:t>ED 338</w:t>
      </w:r>
      <w:r w:rsidRPr="005C0F01">
        <w:rPr>
          <w:rFonts w:eastAsiaTheme="minorHAnsi" w:cstheme="minorHAnsi"/>
          <w:b w:val="0"/>
          <w:sz w:val="22"/>
          <w:szCs w:val="22"/>
          <w:lang w:bidi="ar-SA"/>
        </w:rPr>
        <w:t xml:space="preserve"> and </w:t>
      </w:r>
      <w:r w:rsidR="00ED5994" w:rsidRPr="005C0F01">
        <w:rPr>
          <w:rFonts w:eastAsiaTheme="minorHAnsi" w:cstheme="minorHAnsi"/>
          <w:b w:val="0"/>
          <w:sz w:val="22"/>
          <w:szCs w:val="22"/>
          <w:lang w:bidi="ar-SA"/>
        </w:rPr>
        <w:t xml:space="preserve">the AASB 18 </w:t>
      </w:r>
      <w:r w:rsidR="00ED5994" w:rsidRPr="005C0F01">
        <w:rPr>
          <w:b w:val="0"/>
          <w:sz w:val="22"/>
          <w:szCs w:val="22"/>
        </w:rPr>
        <w:t>supplementary consultation</w:t>
      </w:r>
      <w:r w:rsidRPr="005C0F01">
        <w:rPr>
          <w:rFonts w:eastAsiaTheme="minorHAnsi" w:cstheme="minorHAnsi"/>
          <w:b w:val="0"/>
          <w:sz w:val="22"/>
          <w:szCs w:val="22"/>
          <w:lang w:bidi="ar-SA"/>
        </w:rPr>
        <w:t xml:space="preserve">, we support alignment of the core classification and presentation requirements between Tier 1 and Tier 2 entities, while recognising the particular circumstances of NFP entities. </w:t>
      </w:r>
      <w:r w:rsidR="00DB2D9F" w:rsidRPr="005C0F01">
        <w:rPr>
          <w:rFonts w:eastAsiaTheme="minorHAnsi" w:cstheme="minorHAnsi"/>
          <w:b w:val="0"/>
          <w:sz w:val="22"/>
          <w:szCs w:val="22"/>
          <w:lang w:bidi="ar-SA"/>
        </w:rPr>
        <w:t>Subject to our comments above in response to Question 5, w</w:t>
      </w:r>
      <w:r w:rsidR="00FE62C5" w:rsidRPr="005C0F01">
        <w:rPr>
          <w:rFonts w:eastAsiaTheme="minorHAnsi" w:cstheme="minorHAnsi"/>
          <w:b w:val="0"/>
          <w:sz w:val="22"/>
          <w:szCs w:val="22"/>
          <w:lang w:bidi="ar-SA"/>
        </w:rPr>
        <w:t>e consider that the AASB has appropriately considered the needs and circumstances of NFP entities and the effects of the proposals on Tier 2 entities through its consultation on ITC 56 and ED 338, including its consideration of NFP-specific reliefs.</w:t>
      </w:r>
    </w:p>
    <w:p w14:paraId="5EDB8CFD" w14:textId="4F4A5876" w:rsidR="00190B73" w:rsidRPr="005C0F01" w:rsidRDefault="00C14C6A" w:rsidP="00FE62C5">
      <w:pPr>
        <w:pStyle w:val="Subhead"/>
        <w:jc w:val="both"/>
        <w:rPr>
          <w:b w:val="0"/>
          <w:sz w:val="22"/>
          <w:szCs w:val="22"/>
        </w:rPr>
      </w:pPr>
      <w:r w:rsidRPr="005C0F01">
        <w:rPr>
          <w:rFonts w:eastAsiaTheme="minorHAnsi" w:cstheme="minorHAnsi"/>
          <w:b w:val="0"/>
          <w:sz w:val="22"/>
          <w:szCs w:val="22"/>
          <w:lang w:bidi="ar-SA"/>
        </w:rPr>
        <w:t>We encourage the AASB to continue to have regard to the specific information needs and circumstances of NFP entities as it finalises the proposals, including any further developments arising from the application of AASB 18 and the outcomes of ED 338.</w:t>
      </w:r>
      <w:r w:rsidR="00190B73" w:rsidRPr="005C0F01">
        <w:rPr>
          <w:b w:val="0"/>
          <w:sz w:val="22"/>
          <w:szCs w:val="22"/>
        </w:rPr>
        <w:t xml:space="preserve"> </w:t>
      </w:r>
    </w:p>
    <w:p w14:paraId="69D2BFDC" w14:textId="77777777" w:rsidR="00D27781" w:rsidRPr="00D27781" w:rsidRDefault="00D27781" w:rsidP="00D27781">
      <w:pPr>
        <w:rPr>
          <w:lang w:bidi="th-TH"/>
        </w:rPr>
      </w:pPr>
    </w:p>
    <w:tbl>
      <w:tblPr>
        <w:tblStyle w:val="TableGrid"/>
        <w:tblW w:w="0" w:type="auto"/>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ook w:val="04A0" w:firstRow="1" w:lastRow="0" w:firstColumn="1" w:lastColumn="0" w:noHBand="0" w:noVBand="1"/>
      </w:tblPr>
      <w:tblGrid>
        <w:gridCol w:w="10450"/>
      </w:tblGrid>
      <w:tr w:rsidR="0095418E" w:rsidRPr="00881C6E" w14:paraId="7A4AD1F0" w14:textId="77777777" w:rsidTr="00F0562E">
        <w:tc>
          <w:tcPr>
            <w:tcW w:w="10450" w:type="dxa"/>
          </w:tcPr>
          <w:p w14:paraId="253B9834" w14:textId="14FCA892" w:rsidR="0095418E" w:rsidRPr="00881C6E" w:rsidRDefault="001961E6" w:rsidP="00F0562E">
            <w:pPr>
              <w:spacing w:before="240" w:after="240"/>
              <w:jc w:val="both"/>
              <w:rPr>
                <w:rFonts w:ascii="Avenir LT Std 35 Light" w:hAnsi="Avenir LT Std 35 Light"/>
                <w:b/>
                <w:bCs/>
                <w:sz w:val="22"/>
                <w:szCs w:val="22"/>
              </w:rPr>
            </w:pPr>
            <w:r w:rsidRPr="00881C6E">
              <w:rPr>
                <w:rFonts w:ascii="Avenir LT Std 35 Light" w:hAnsi="Avenir LT Std 35 Light"/>
                <w:b/>
                <w:bCs/>
                <w:sz w:val="22"/>
                <w:szCs w:val="22"/>
              </w:rPr>
              <w:t>8</w:t>
            </w:r>
            <w:r w:rsidR="00866B28" w:rsidRPr="00881C6E">
              <w:rPr>
                <w:rFonts w:ascii="Avenir LT Std 35 Light" w:hAnsi="Avenir LT Std 35 Light"/>
                <w:b/>
                <w:bCs/>
                <w:sz w:val="22"/>
                <w:szCs w:val="22"/>
              </w:rPr>
              <w:t>)</w:t>
            </w:r>
            <w:r w:rsidRPr="00881C6E">
              <w:rPr>
                <w:rFonts w:ascii="Avenir LT Std 35 Light" w:hAnsi="Avenir LT Std 35 Light"/>
                <w:b/>
                <w:bCs/>
                <w:sz w:val="22"/>
                <w:szCs w:val="22"/>
              </w:rPr>
              <w:t xml:space="preserve"> Are there any regulatory issues or other issues arising in the Australian environment that may affect the implementation of the proposals?</w:t>
            </w:r>
          </w:p>
        </w:tc>
      </w:tr>
    </w:tbl>
    <w:p w14:paraId="0B4BCF7A" w14:textId="27A9CA75" w:rsidR="00BF147C" w:rsidRPr="005C0F01" w:rsidRDefault="00BF147C" w:rsidP="00BF147C">
      <w:pPr>
        <w:pStyle w:val="Subhead"/>
        <w:jc w:val="both"/>
        <w:rPr>
          <w:rFonts w:eastAsiaTheme="minorHAnsi" w:cstheme="minorHAnsi"/>
          <w:b w:val="0"/>
          <w:sz w:val="22"/>
          <w:szCs w:val="22"/>
          <w:lang w:bidi="ar-SA"/>
        </w:rPr>
      </w:pPr>
      <w:r w:rsidRPr="005C0F01">
        <w:rPr>
          <w:rFonts w:eastAsiaTheme="minorHAnsi" w:cstheme="minorHAnsi"/>
          <w:b w:val="0"/>
          <w:sz w:val="22"/>
          <w:szCs w:val="22"/>
          <w:lang w:bidi="ar-SA"/>
        </w:rPr>
        <w:t xml:space="preserve">As stated in </w:t>
      </w:r>
      <w:r w:rsidR="00F17C2B" w:rsidRPr="005C0F01">
        <w:rPr>
          <w:rFonts w:eastAsiaTheme="minorHAnsi" w:cstheme="minorHAnsi"/>
          <w:b w:val="0"/>
          <w:sz w:val="22"/>
          <w:szCs w:val="22"/>
          <w:lang w:bidi="ar-SA"/>
        </w:rPr>
        <w:t xml:space="preserve">our </w:t>
      </w:r>
      <w:r w:rsidR="00E574B4" w:rsidRPr="005C0F01">
        <w:rPr>
          <w:b w:val="0"/>
          <w:sz w:val="22"/>
          <w:szCs w:val="22"/>
        </w:rPr>
        <w:t>ITC 56</w:t>
      </w:r>
      <w:r w:rsidRPr="005C0F01">
        <w:rPr>
          <w:rFonts w:eastAsiaTheme="minorHAnsi" w:cstheme="minorHAnsi"/>
          <w:b w:val="0"/>
          <w:sz w:val="22"/>
          <w:szCs w:val="22"/>
          <w:lang w:bidi="ar-SA"/>
        </w:rPr>
        <w:t xml:space="preserve"> submission, we highlighted regulatory challenges that may arise where statutory reporting frameworks require smaller entities to prepare full Tier 2 GPFS, including the examples of the Queensland Building and Construction Commission (QBCC) and Victorian building reporting regimes. We recommended stronger impact and effects analysis, proactive engagement with relevant regulators and ongoing monitoring of regulatory frameworks to ensure that changes to AASB 1060 do not create unintended consequences for entities subject to such requirements.</w:t>
      </w:r>
      <w:r w:rsidR="005E60A6" w:rsidRPr="005C0F01">
        <w:rPr>
          <w:rFonts w:eastAsiaTheme="minorHAnsi" w:cstheme="minorHAnsi"/>
          <w:b w:val="0"/>
          <w:sz w:val="22"/>
          <w:szCs w:val="22"/>
          <w:lang w:bidi="ar-SA"/>
        </w:rPr>
        <w:t xml:space="preserve"> As noted in our cover letter, a more holistic solution to the financial reporting needs of smaller </w:t>
      </w:r>
      <w:r w:rsidR="0032795D" w:rsidRPr="005C0F01">
        <w:rPr>
          <w:rFonts w:eastAsiaTheme="minorHAnsi" w:cstheme="minorHAnsi"/>
          <w:b w:val="0"/>
          <w:sz w:val="22"/>
          <w:szCs w:val="22"/>
          <w:lang w:bidi="ar-SA"/>
        </w:rPr>
        <w:t xml:space="preserve">for-profit entities may lie in the development of a new for-profit Tier 3 Standard that </w:t>
      </w:r>
      <w:r w:rsidR="00181424" w:rsidRPr="005C0F01">
        <w:rPr>
          <w:rFonts w:eastAsiaTheme="minorHAnsi" w:cstheme="minorHAnsi"/>
          <w:b w:val="0"/>
          <w:sz w:val="22"/>
          <w:szCs w:val="22"/>
          <w:lang w:bidi="ar-SA"/>
        </w:rPr>
        <w:t>involves simplified recognition, measurement an disclosure requirements.</w:t>
      </w:r>
    </w:p>
    <w:p w14:paraId="5890BC8D" w14:textId="27D1674E" w:rsidR="00BF147C" w:rsidRPr="005C0F01" w:rsidRDefault="00857B51" w:rsidP="00BF147C">
      <w:pPr>
        <w:pStyle w:val="Subhead"/>
        <w:jc w:val="both"/>
        <w:rPr>
          <w:rFonts w:eastAsiaTheme="minorHAnsi" w:cstheme="minorHAnsi"/>
          <w:b w:val="0"/>
          <w:sz w:val="22"/>
          <w:szCs w:val="22"/>
          <w:lang w:bidi="ar-SA"/>
        </w:rPr>
      </w:pPr>
      <w:r w:rsidRPr="005C0F01">
        <w:rPr>
          <w:rFonts w:eastAsiaTheme="minorHAnsi" w:cstheme="minorHAnsi"/>
          <w:b w:val="0"/>
          <w:sz w:val="22"/>
          <w:szCs w:val="22"/>
          <w:lang w:bidi="ar-SA"/>
        </w:rPr>
        <w:t>Also, a</w:t>
      </w:r>
      <w:r w:rsidR="00BF147C" w:rsidRPr="005C0F01">
        <w:rPr>
          <w:rFonts w:eastAsiaTheme="minorHAnsi" w:cstheme="minorHAnsi"/>
          <w:b w:val="0"/>
          <w:sz w:val="22"/>
          <w:szCs w:val="22"/>
          <w:lang w:bidi="ar-SA"/>
        </w:rPr>
        <w:t xml:space="preserve">s stated in our </w:t>
      </w:r>
      <w:r w:rsidR="00181424" w:rsidRPr="005C0F01">
        <w:rPr>
          <w:b w:val="0"/>
          <w:sz w:val="22"/>
          <w:szCs w:val="22"/>
        </w:rPr>
        <w:t>ED 338</w:t>
      </w:r>
      <w:r w:rsidR="00F17C2B" w:rsidRPr="005C0F01">
        <w:rPr>
          <w:rFonts w:eastAsiaTheme="minorHAnsi" w:cstheme="minorHAnsi"/>
          <w:b w:val="0"/>
          <w:sz w:val="22"/>
          <w:szCs w:val="22"/>
          <w:lang w:bidi="ar-SA"/>
        </w:rPr>
        <w:t xml:space="preserve"> and </w:t>
      </w:r>
      <w:r w:rsidR="00181424" w:rsidRPr="005C0F01">
        <w:rPr>
          <w:rFonts w:eastAsiaTheme="minorHAnsi" w:cstheme="minorHAnsi"/>
          <w:b w:val="0"/>
          <w:sz w:val="22"/>
          <w:szCs w:val="22"/>
          <w:lang w:bidi="ar-SA"/>
        </w:rPr>
        <w:t>s</w:t>
      </w:r>
      <w:r w:rsidR="00181424" w:rsidRPr="005C0F01">
        <w:rPr>
          <w:b w:val="0"/>
          <w:sz w:val="22"/>
          <w:szCs w:val="22"/>
        </w:rPr>
        <w:t xml:space="preserve">upplementary </w:t>
      </w:r>
      <w:r w:rsidR="00181424" w:rsidRPr="005C0F01">
        <w:rPr>
          <w:rFonts w:eastAsiaTheme="minorHAnsi" w:cstheme="minorHAnsi"/>
          <w:b w:val="0"/>
          <w:sz w:val="22"/>
          <w:szCs w:val="22"/>
          <w:lang w:bidi="ar-SA"/>
        </w:rPr>
        <w:t>c</w:t>
      </w:r>
      <w:r w:rsidR="00181424" w:rsidRPr="005C0F01">
        <w:rPr>
          <w:b w:val="0"/>
          <w:sz w:val="22"/>
          <w:szCs w:val="22"/>
        </w:rPr>
        <w:t xml:space="preserve">onsultation </w:t>
      </w:r>
      <w:r w:rsidR="00181424" w:rsidRPr="005C0F01">
        <w:rPr>
          <w:rFonts w:eastAsiaTheme="minorHAnsi" w:cstheme="minorHAnsi"/>
          <w:b w:val="0"/>
          <w:sz w:val="22"/>
          <w:szCs w:val="22"/>
          <w:lang w:bidi="ar-SA"/>
        </w:rPr>
        <w:t>s</w:t>
      </w:r>
      <w:r w:rsidR="00181424" w:rsidRPr="005C0F01">
        <w:rPr>
          <w:b w:val="0"/>
          <w:sz w:val="22"/>
          <w:szCs w:val="22"/>
        </w:rPr>
        <w:t>ubmissions</w:t>
      </w:r>
      <w:r w:rsidR="00BF147C" w:rsidRPr="005C0F01">
        <w:rPr>
          <w:rFonts w:eastAsiaTheme="minorHAnsi" w:cstheme="minorHAnsi"/>
          <w:b w:val="0"/>
          <w:sz w:val="22"/>
          <w:szCs w:val="22"/>
          <w:lang w:bidi="ar-SA"/>
        </w:rPr>
        <w:t xml:space="preserve">, we consider that the application of AASB 18 to NFP entities should take account of their particular regulatory and reporting circumstances. In </w:t>
      </w:r>
      <w:r w:rsidR="00BF147C" w:rsidRPr="005C0F01">
        <w:rPr>
          <w:rFonts w:eastAsiaTheme="minorHAnsi" w:cstheme="minorHAnsi"/>
          <w:b w:val="0"/>
          <w:sz w:val="22"/>
          <w:szCs w:val="22"/>
          <w:lang w:bidi="ar-SA"/>
        </w:rPr>
        <w:lastRenderedPageBreak/>
        <w:t>particular, where regulators prescribe or influence presentation requirements, the interaction between those requirements and the AASB 18 classification and presentation requirements should be carefully considered.</w:t>
      </w:r>
    </w:p>
    <w:p w14:paraId="2364D63B" w14:textId="0AA1D6AB" w:rsidR="0095418E" w:rsidRPr="005C0F01" w:rsidRDefault="00086E0C" w:rsidP="00BF147C">
      <w:pPr>
        <w:pStyle w:val="Subhead"/>
        <w:jc w:val="both"/>
        <w:rPr>
          <w:rFonts w:eastAsiaTheme="minorHAnsi" w:cstheme="minorHAnsi"/>
          <w:b w:val="0"/>
          <w:sz w:val="22"/>
          <w:szCs w:val="22"/>
          <w:lang w:bidi="ar-SA"/>
        </w:rPr>
      </w:pPr>
      <w:r w:rsidRPr="005C0F01">
        <w:rPr>
          <w:rFonts w:eastAsiaTheme="minorHAnsi" w:cstheme="minorHAnsi"/>
          <w:b w:val="0"/>
          <w:sz w:val="22"/>
          <w:szCs w:val="22"/>
          <w:lang w:bidi="ar-SA"/>
        </w:rPr>
        <w:t>We also refer to our comments in Question 6 regarding ongoing developments relating to IFRS 18.</w:t>
      </w:r>
    </w:p>
    <w:p w14:paraId="778380AC" w14:textId="77777777" w:rsidR="00D27781" w:rsidRPr="00D27781" w:rsidRDefault="00D27781" w:rsidP="00D27781"/>
    <w:tbl>
      <w:tblPr>
        <w:tblStyle w:val="TableGrid"/>
        <w:tblW w:w="0" w:type="auto"/>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ook w:val="04A0" w:firstRow="1" w:lastRow="0" w:firstColumn="1" w:lastColumn="0" w:noHBand="0" w:noVBand="1"/>
      </w:tblPr>
      <w:tblGrid>
        <w:gridCol w:w="10450"/>
      </w:tblGrid>
      <w:tr w:rsidR="0095418E" w:rsidRPr="00881C6E" w14:paraId="0D4F45CD" w14:textId="77777777" w:rsidTr="00F0562E">
        <w:tc>
          <w:tcPr>
            <w:tcW w:w="10450" w:type="dxa"/>
          </w:tcPr>
          <w:p w14:paraId="6E7B5A97" w14:textId="46B7D1E9" w:rsidR="0095418E" w:rsidRPr="00881C6E" w:rsidRDefault="00924559" w:rsidP="00F0562E">
            <w:pPr>
              <w:spacing w:before="240" w:after="240"/>
              <w:jc w:val="both"/>
              <w:rPr>
                <w:rFonts w:ascii="Avenir LT Std 35 Light" w:hAnsi="Avenir LT Std 35 Light"/>
                <w:b/>
                <w:bCs/>
                <w:sz w:val="22"/>
                <w:szCs w:val="22"/>
              </w:rPr>
            </w:pPr>
            <w:r w:rsidRPr="00881C6E">
              <w:rPr>
                <w:rFonts w:ascii="Avenir LT Std 35 Light" w:hAnsi="Avenir LT Std 35 Light"/>
                <w:b/>
                <w:bCs/>
                <w:sz w:val="22"/>
                <w:szCs w:val="22"/>
              </w:rPr>
              <w:t>9</w:t>
            </w:r>
            <w:r w:rsidR="00866B28" w:rsidRPr="00881C6E">
              <w:rPr>
                <w:rFonts w:ascii="Avenir LT Std 35 Light" w:hAnsi="Avenir LT Std 35 Light"/>
                <w:b/>
                <w:bCs/>
                <w:sz w:val="22"/>
                <w:szCs w:val="22"/>
              </w:rPr>
              <w:t>)</w:t>
            </w:r>
            <w:r w:rsidRPr="00881C6E">
              <w:rPr>
                <w:rFonts w:ascii="Avenir LT Std 35 Light" w:hAnsi="Avenir LT Std 35 Light"/>
                <w:b/>
                <w:bCs/>
                <w:sz w:val="22"/>
                <w:szCs w:val="22"/>
              </w:rPr>
              <w:t xml:space="preserve"> Do the proposals create any auditing or assurance challenges and, if so, please explain those challenges?</w:t>
            </w:r>
          </w:p>
        </w:tc>
      </w:tr>
    </w:tbl>
    <w:p w14:paraId="35356F2A" w14:textId="2774D7F4" w:rsidR="0095418E" w:rsidRPr="005C0F01" w:rsidRDefault="000F5FDD" w:rsidP="0095418E">
      <w:pPr>
        <w:pStyle w:val="Subhead"/>
        <w:jc w:val="both"/>
        <w:rPr>
          <w:rFonts w:eastAsiaTheme="minorHAnsi" w:cstheme="minorHAnsi"/>
          <w:b w:val="0"/>
          <w:sz w:val="22"/>
          <w:szCs w:val="22"/>
          <w:lang w:bidi="ar-SA"/>
        </w:rPr>
      </w:pPr>
      <w:r w:rsidRPr="005C0F01">
        <w:rPr>
          <w:rFonts w:eastAsiaTheme="minorHAnsi" w:cstheme="minorHAnsi"/>
          <w:b w:val="0"/>
          <w:sz w:val="22"/>
          <w:szCs w:val="22"/>
          <w:lang w:bidi="ar-SA"/>
        </w:rPr>
        <w:t xml:space="preserve">We do not expect the proposals to create significant auditing or assurance challenges. As stated in our </w:t>
      </w:r>
      <w:r w:rsidR="002846A8" w:rsidRPr="005C0F01">
        <w:rPr>
          <w:b w:val="0"/>
          <w:sz w:val="22"/>
          <w:szCs w:val="22"/>
        </w:rPr>
        <w:t>ITC 56</w:t>
      </w:r>
      <w:r w:rsidRPr="005C0F01">
        <w:rPr>
          <w:rFonts w:eastAsiaTheme="minorHAnsi" w:cstheme="minorHAnsi"/>
          <w:b w:val="0"/>
          <w:sz w:val="22"/>
          <w:szCs w:val="22"/>
          <w:lang w:bidi="ar-SA"/>
        </w:rPr>
        <w:t xml:space="preserve"> submission, we did not identify significant technical auditing or assurance concerns with AASB 1060, with earlier issues primarily arising from misunderstandings of “simplified disclosures” versus “simplified accounting”. We consider that any future challenges are more likely to relate to implementation guidance and the exercise of judgement rather than auditing standards themselves. Clear implementation guidance and illustrative examples would therefore assist preparers and auditors in applying the requirements consistently, particularly during the transition period.</w:t>
      </w:r>
    </w:p>
    <w:p w14:paraId="2278211B" w14:textId="77777777" w:rsidR="00D27781" w:rsidRPr="00D27781" w:rsidRDefault="00D27781" w:rsidP="00D27781"/>
    <w:tbl>
      <w:tblPr>
        <w:tblStyle w:val="TableGrid"/>
        <w:tblW w:w="0" w:type="auto"/>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ook w:val="04A0" w:firstRow="1" w:lastRow="0" w:firstColumn="1" w:lastColumn="0" w:noHBand="0" w:noVBand="1"/>
      </w:tblPr>
      <w:tblGrid>
        <w:gridCol w:w="10450"/>
      </w:tblGrid>
      <w:tr w:rsidR="0095418E" w:rsidRPr="00881C6E" w14:paraId="4FC3F2C9" w14:textId="77777777" w:rsidTr="00F0562E">
        <w:tc>
          <w:tcPr>
            <w:tcW w:w="10450" w:type="dxa"/>
          </w:tcPr>
          <w:p w14:paraId="5DF65FBE" w14:textId="60F589E4" w:rsidR="0095418E" w:rsidRPr="00881C6E" w:rsidRDefault="00A161F8" w:rsidP="00F0562E">
            <w:pPr>
              <w:spacing w:before="240" w:after="240"/>
              <w:jc w:val="both"/>
              <w:rPr>
                <w:rFonts w:ascii="Avenir LT Std 35 Light" w:hAnsi="Avenir LT Std 35 Light"/>
                <w:b/>
                <w:bCs/>
                <w:sz w:val="22"/>
                <w:szCs w:val="22"/>
              </w:rPr>
            </w:pPr>
            <w:r w:rsidRPr="00881C6E">
              <w:rPr>
                <w:rFonts w:ascii="Avenir LT Std 35 Light" w:hAnsi="Avenir LT Std 35 Light"/>
                <w:b/>
                <w:bCs/>
                <w:sz w:val="22"/>
                <w:szCs w:val="22"/>
              </w:rPr>
              <w:t>10</w:t>
            </w:r>
            <w:r w:rsidR="00866B28" w:rsidRPr="00881C6E">
              <w:rPr>
                <w:rFonts w:ascii="Avenir LT Std 35 Light" w:hAnsi="Avenir LT Std 35 Light"/>
                <w:b/>
                <w:bCs/>
                <w:sz w:val="22"/>
                <w:szCs w:val="22"/>
              </w:rPr>
              <w:t>)</w:t>
            </w:r>
            <w:r w:rsidRPr="00881C6E">
              <w:rPr>
                <w:rFonts w:ascii="Avenir LT Std 35 Light" w:hAnsi="Avenir LT Std 35 Light"/>
                <w:b/>
                <w:bCs/>
                <w:sz w:val="22"/>
                <w:szCs w:val="22"/>
              </w:rPr>
              <w:t xml:space="preserve"> Overall, would the proposals result in financial statements that would be useful to users?</w:t>
            </w:r>
          </w:p>
        </w:tc>
      </w:tr>
    </w:tbl>
    <w:p w14:paraId="2B45DF0A" w14:textId="408D79AE" w:rsidR="0095418E" w:rsidRPr="005C0F01" w:rsidRDefault="0096317B" w:rsidP="0095418E">
      <w:pPr>
        <w:pStyle w:val="Subhead"/>
        <w:jc w:val="both"/>
        <w:rPr>
          <w:rFonts w:eastAsiaTheme="minorHAnsi" w:cstheme="minorHAnsi"/>
          <w:b w:val="0"/>
          <w:sz w:val="22"/>
          <w:szCs w:val="22"/>
          <w:lang w:bidi="ar-SA"/>
        </w:rPr>
      </w:pPr>
      <w:r w:rsidRPr="005C0F01">
        <w:rPr>
          <w:rFonts w:eastAsiaTheme="minorHAnsi" w:cstheme="minorHAnsi"/>
          <w:b w:val="0"/>
          <w:sz w:val="22"/>
          <w:szCs w:val="22"/>
          <w:lang w:bidi="ar-SA"/>
        </w:rPr>
        <w:t>Overall, w</w:t>
      </w:r>
      <w:r w:rsidR="0039553A" w:rsidRPr="005C0F01">
        <w:rPr>
          <w:rFonts w:eastAsiaTheme="minorHAnsi" w:cstheme="minorHAnsi"/>
          <w:b w:val="0"/>
          <w:sz w:val="22"/>
          <w:szCs w:val="22"/>
          <w:lang w:bidi="ar-SA"/>
        </w:rPr>
        <w:t xml:space="preserve">e consider that the proposals would result in financial statements that are useful to users. As stated in our </w:t>
      </w:r>
      <w:r w:rsidRPr="005C0F01">
        <w:rPr>
          <w:b w:val="0"/>
          <w:sz w:val="22"/>
          <w:szCs w:val="22"/>
        </w:rPr>
        <w:t>ITC 56</w:t>
      </w:r>
      <w:r w:rsidR="00641FFE" w:rsidRPr="005C0F01">
        <w:rPr>
          <w:rFonts w:eastAsiaTheme="minorHAnsi" w:cstheme="minorHAnsi"/>
          <w:b w:val="0"/>
          <w:sz w:val="22"/>
          <w:szCs w:val="22"/>
          <w:lang w:bidi="ar-SA"/>
        </w:rPr>
        <w:t xml:space="preserve"> </w:t>
      </w:r>
      <w:r w:rsidR="0039553A" w:rsidRPr="005C0F01">
        <w:rPr>
          <w:rFonts w:eastAsiaTheme="minorHAnsi" w:cstheme="minorHAnsi"/>
          <w:b w:val="0"/>
          <w:sz w:val="22"/>
          <w:szCs w:val="22"/>
          <w:lang w:bidi="ar-SA"/>
        </w:rPr>
        <w:t xml:space="preserve">submission, we support aligning the classification and presentation requirements of Tier 2 entities with AASB 18, as this should enhance consistency and comparability between Tier 1 and Tier 2 financial statements. </w:t>
      </w:r>
      <w:r w:rsidR="00641FFE" w:rsidRPr="005C0F01">
        <w:rPr>
          <w:rFonts w:eastAsiaTheme="minorHAnsi" w:cstheme="minorHAnsi"/>
          <w:b w:val="0"/>
          <w:sz w:val="22"/>
          <w:szCs w:val="22"/>
          <w:lang w:bidi="ar-SA"/>
        </w:rPr>
        <w:t xml:space="preserve">Also as </w:t>
      </w:r>
      <w:r w:rsidR="0039553A" w:rsidRPr="005C0F01">
        <w:rPr>
          <w:rFonts w:eastAsiaTheme="minorHAnsi" w:cstheme="minorHAnsi"/>
          <w:b w:val="0"/>
          <w:sz w:val="22"/>
          <w:szCs w:val="22"/>
          <w:lang w:bidi="ar-SA"/>
        </w:rPr>
        <w:t xml:space="preserve"> stated in our </w:t>
      </w:r>
      <w:r w:rsidR="005C4B68" w:rsidRPr="005C0F01">
        <w:rPr>
          <w:b w:val="0"/>
          <w:sz w:val="22"/>
          <w:szCs w:val="22"/>
        </w:rPr>
        <w:t>ED 338</w:t>
      </w:r>
      <w:r w:rsidR="00641FFE" w:rsidRPr="005C0F01">
        <w:rPr>
          <w:rFonts w:eastAsiaTheme="minorHAnsi" w:cstheme="minorHAnsi"/>
          <w:b w:val="0"/>
          <w:sz w:val="22"/>
          <w:szCs w:val="22"/>
          <w:lang w:bidi="ar-SA"/>
        </w:rPr>
        <w:t xml:space="preserve"> and </w:t>
      </w:r>
      <w:r w:rsidR="005C4B68" w:rsidRPr="005C0F01">
        <w:rPr>
          <w:rFonts w:eastAsiaTheme="minorHAnsi" w:cstheme="minorHAnsi"/>
          <w:b w:val="0"/>
          <w:sz w:val="22"/>
          <w:szCs w:val="22"/>
          <w:lang w:bidi="ar-SA"/>
        </w:rPr>
        <w:t>s</w:t>
      </w:r>
      <w:r w:rsidR="005C4B68" w:rsidRPr="005C0F01">
        <w:rPr>
          <w:b w:val="0"/>
          <w:sz w:val="22"/>
          <w:szCs w:val="22"/>
        </w:rPr>
        <w:t xml:space="preserve">upplementary </w:t>
      </w:r>
      <w:r w:rsidR="005C4B68" w:rsidRPr="005C0F01">
        <w:rPr>
          <w:rFonts w:eastAsiaTheme="minorHAnsi" w:cstheme="minorHAnsi"/>
          <w:b w:val="0"/>
          <w:sz w:val="22"/>
          <w:szCs w:val="22"/>
          <w:lang w:bidi="ar-SA"/>
        </w:rPr>
        <w:t>c</w:t>
      </w:r>
      <w:r w:rsidR="005C4B68" w:rsidRPr="005C0F01">
        <w:rPr>
          <w:b w:val="0"/>
          <w:sz w:val="22"/>
          <w:szCs w:val="22"/>
        </w:rPr>
        <w:t xml:space="preserve">onsultation </w:t>
      </w:r>
      <w:r w:rsidR="005C4B68" w:rsidRPr="005C0F01">
        <w:rPr>
          <w:rFonts w:eastAsiaTheme="minorHAnsi" w:cstheme="minorHAnsi"/>
          <w:b w:val="0"/>
          <w:sz w:val="22"/>
          <w:szCs w:val="22"/>
          <w:lang w:bidi="ar-SA"/>
        </w:rPr>
        <w:t>s</w:t>
      </w:r>
      <w:r w:rsidR="005C4B68" w:rsidRPr="005C0F01">
        <w:rPr>
          <w:b w:val="0"/>
          <w:sz w:val="22"/>
          <w:szCs w:val="22"/>
        </w:rPr>
        <w:t>ubmissions</w:t>
      </w:r>
      <w:r w:rsidR="0039553A" w:rsidRPr="005C0F01">
        <w:rPr>
          <w:rFonts w:eastAsiaTheme="minorHAnsi" w:cstheme="minorHAnsi"/>
          <w:b w:val="0"/>
          <w:sz w:val="22"/>
          <w:szCs w:val="22"/>
          <w:lang w:bidi="ar-SA"/>
        </w:rPr>
        <w:t>, the application of AASB 18 to NFP entities should also take account of their particular circumstances and information needs. We consider that appropriate NFP-specific reliefs, together with clear implementation guidance and illustrative examples, will be important to ensuring that the resulting information is useful and comparable for users.</w:t>
      </w:r>
    </w:p>
    <w:p w14:paraId="50DEF885" w14:textId="77777777" w:rsidR="00D27781" w:rsidRPr="00D27781" w:rsidRDefault="00D27781" w:rsidP="00D27781"/>
    <w:tbl>
      <w:tblPr>
        <w:tblStyle w:val="TableGrid"/>
        <w:tblW w:w="0" w:type="auto"/>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ook w:val="04A0" w:firstRow="1" w:lastRow="0" w:firstColumn="1" w:lastColumn="0" w:noHBand="0" w:noVBand="1"/>
      </w:tblPr>
      <w:tblGrid>
        <w:gridCol w:w="10450"/>
      </w:tblGrid>
      <w:tr w:rsidR="0095418E" w:rsidRPr="00881C6E" w14:paraId="7E4CFF2E" w14:textId="77777777" w:rsidTr="00F0562E">
        <w:tc>
          <w:tcPr>
            <w:tcW w:w="10450" w:type="dxa"/>
          </w:tcPr>
          <w:p w14:paraId="2AA161B5" w14:textId="394CB649" w:rsidR="0095418E" w:rsidRPr="00881C6E" w:rsidRDefault="003B45BA" w:rsidP="00F0562E">
            <w:pPr>
              <w:spacing w:before="240" w:after="240"/>
              <w:jc w:val="both"/>
              <w:rPr>
                <w:rFonts w:ascii="Avenir LT Std 35 Light" w:hAnsi="Avenir LT Std 35 Light"/>
                <w:b/>
                <w:bCs/>
                <w:sz w:val="22"/>
                <w:szCs w:val="22"/>
              </w:rPr>
            </w:pPr>
            <w:r w:rsidRPr="00881C6E">
              <w:rPr>
                <w:rFonts w:ascii="Avenir LT Std 35 Light" w:hAnsi="Avenir LT Std 35 Light"/>
                <w:b/>
                <w:bCs/>
                <w:sz w:val="22"/>
                <w:szCs w:val="22"/>
              </w:rPr>
              <w:t>11</w:t>
            </w:r>
            <w:r w:rsidR="00866B28" w:rsidRPr="00881C6E">
              <w:rPr>
                <w:rFonts w:ascii="Avenir LT Std 35 Light" w:hAnsi="Avenir LT Std 35 Light"/>
                <w:b/>
                <w:bCs/>
                <w:sz w:val="22"/>
                <w:szCs w:val="22"/>
              </w:rPr>
              <w:t>)</w:t>
            </w:r>
            <w:r w:rsidRPr="00881C6E">
              <w:rPr>
                <w:rFonts w:ascii="Avenir LT Std 35 Light" w:hAnsi="Avenir LT Std 35 Light"/>
                <w:b/>
                <w:bCs/>
                <w:sz w:val="22"/>
                <w:szCs w:val="22"/>
              </w:rPr>
              <w:t xml:space="preserve"> Are the proposals in the best interests of the Australian economy?</w:t>
            </w:r>
          </w:p>
          <w:p w14:paraId="328A4A31" w14:textId="4EF9D1E1" w:rsidR="00E83987" w:rsidRPr="00881C6E" w:rsidRDefault="00E83987" w:rsidP="00F0562E">
            <w:pPr>
              <w:spacing w:before="240" w:after="240"/>
              <w:jc w:val="both"/>
              <w:rPr>
                <w:rFonts w:ascii="Avenir LT Std 35 Light" w:hAnsi="Avenir LT Std 35 Light"/>
                <w:b/>
                <w:bCs/>
                <w:sz w:val="22"/>
                <w:szCs w:val="22"/>
              </w:rPr>
            </w:pPr>
            <w:r w:rsidRPr="00881C6E">
              <w:rPr>
                <w:rFonts w:ascii="Avenir LT Std 35 Light" w:hAnsi="Avenir LT Std 35 Light"/>
                <w:b/>
                <w:bCs/>
                <w:sz w:val="22"/>
                <w:szCs w:val="22"/>
              </w:rPr>
              <w:t>12</w:t>
            </w:r>
            <w:r w:rsidR="00866B28" w:rsidRPr="00881C6E">
              <w:rPr>
                <w:rFonts w:ascii="Avenir LT Std 35 Light" w:hAnsi="Avenir LT Std 35 Light"/>
                <w:b/>
                <w:bCs/>
                <w:sz w:val="22"/>
                <w:szCs w:val="22"/>
              </w:rPr>
              <w:t>)</w:t>
            </w:r>
            <w:r w:rsidRPr="00881C6E">
              <w:rPr>
                <w:rFonts w:ascii="Avenir LT Std 35 Light" w:hAnsi="Avenir LT Std 35 Light"/>
                <w:b/>
                <w:bCs/>
                <w:sz w:val="22"/>
                <w:szCs w:val="22"/>
              </w:rPr>
              <w:t xml:space="preserve"> Unless already provided in response to specific matters for comment above, what are the costs and benefits of the proposals, whether quantitative (financial or non-financial) or qualitative, and are they appropriate relative to the existing requirements? In relation to quantitative financial costs, the AASB is particularly seeking to know the nature(s) and estimated amount(s) of any expected incremental costs, or cost savings, of the proposals relative to the existing requirements.</w:t>
            </w:r>
          </w:p>
        </w:tc>
      </w:tr>
    </w:tbl>
    <w:p w14:paraId="3D3C5213" w14:textId="5B610728" w:rsidR="005611BF" w:rsidRDefault="00445164" w:rsidP="005611BF">
      <w:pPr>
        <w:pStyle w:val="Subhead"/>
        <w:jc w:val="both"/>
        <w:rPr>
          <w:rFonts w:eastAsiaTheme="minorHAnsi" w:cstheme="minorHAnsi"/>
          <w:b w:val="0"/>
          <w:sz w:val="22"/>
          <w:szCs w:val="22"/>
          <w:lang w:bidi="ar-SA"/>
        </w:rPr>
      </w:pPr>
      <w:r>
        <w:rPr>
          <w:rFonts w:eastAsiaTheme="minorHAnsi" w:cstheme="minorHAnsi"/>
          <w:b w:val="0"/>
          <w:sz w:val="22"/>
          <w:szCs w:val="22"/>
          <w:lang w:bidi="ar-SA"/>
        </w:rPr>
        <w:t>Subject to our above comments, w</w:t>
      </w:r>
      <w:r w:rsidR="009C5E95">
        <w:rPr>
          <w:rFonts w:eastAsiaTheme="minorHAnsi" w:cstheme="minorHAnsi"/>
          <w:b w:val="0"/>
          <w:sz w:val="22"/>
          <w:szCs w:val="22"/>
          <w:lang w:bidi="ar-SA"/>
        </w:rPr>
        <w:t xml:space="preserve">e </w:t>
      </w:r>
      <w:r w:rsidR="005611BF" w:rsidRPr="005611BF">
        <w:rPr>
          <w:rFonts w:eastAsiaTheme="minorHAnsi" w:cstheme="minorHAnsi"/>
          <w:b w:val="0"/>
          <w:sz w:val="22"/>
          <w:szCs w:val="22"/>
          <w:lang w:bidi="ar-SA"/>
        </w:rPr>
        <w:t>consider that, overall, the proposals are in the best interests of the Australian economy and that the benefits are appropriate relative to the associated costs.</w:t>
      </w:r>
    </w:p>
    <w:p w14:paraId="26A67A69" w14:textId="23E46534" w:rsidR="00DA46A7" w:rsidRPr="002E1915" w:rsidRDefault="00DA46A7" w:rsidP="005611BF">
      <w:pPr>
        <w:pStyle w:val="Subhead"/>
        <w:jc w:val="both"/>
        <w:rPr>
          <w:b w:val="0"/>
          <w:bCs/>
        </w:rPr>
      </w:pPr>
    </w:p>
    <w:sectPr w:rsidR="00DA46A7" w:rsidRPr="002E1915" w:rsidSect="0033105E">
      <w:footerReference w:type="default" r:id="rId13"/>
      <w:headerReference w:type="first" r:id="rId14"/>
      <w:footerReference w:type="first" r:id="rId15"/>
      <w:pgSz w:w="11900" w:h="16840"/>
      <w:pgMar w:top="720" w:right="720" w:bottom="720" w:left="72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456BAC" w14:textId="77777777" w:rsidR="006D471C" w:rsidRDefault="006D471C" w:rsidP="00B13664">
      <w:r>
        <w:separator/>
      </w:r>
    </w:p>
  </w:endnote>
  <w:endnote w:type="continuationSeparator" w:id="0">
    <w:p w14:paraId="42E92CC9" w14:textId="77777777" w:rsidR="006D471C" w:rsidRDefault="006D471C" w:rsidP="00B136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Narrow">
    <w:charset w:val="00"/>
    <w:family w:val="swiss"/>
    <w:pitch w:val="variable"/>
    <w:sig w:usb0="20000287" w:usb1="00000003" w:usb2="00000000" w:usb3="00000000" w:csb0="0000019F" w:csb1="00000000"/>
  </w:font>
  <w:font w:name="Cordia New">
    <w:panose1 w:val="020B0304020202020204"/>
    <w:charset w:val="DE"/>
    <w:family w:val="swiss"/>
    <w:pitch w:val="variable"/>
    <w:sig w:usb0="81000003" w:usb1="00000000" w:usb2="00000000" w:usb3="00000000" w:csb0="00010001" w:csb1="00000000"/>
  </w:font>
  <w:font w:name="Calibri">
    <w:panose1 w:val="020F0502020204030204"/>
    <w:charset w:val="00"/>
    <w:family w:val="swiss"/>
    <w:pitch w:val="variable"/>
    <w:sig w:usb0="E4002EFF" w:usb1="C200247B" w:usb2="00000009" w:usb3="00000000" w:csb0="000001FF" w:csb1="00000000"/>
  </w:font>
  <w:font w:name="avenir">
    <w:altName w:val="Cambria"/>
    <w:charset w:val="4D"/>
    <w:family w:val="swiss"/>
    <w:pitch w:val="variable"/>
    <w:sig w:usb0="800000AF" w:usb1="5000204A" w:usb2="00000000" w:usb3="00000000" w:csb0="0000009B" w:csb1="00000000"/>
  </w:font>
  <w:font w:name="Avenir Roman">
    <w:altName w:val="Calibri"/>
    <w:charset w:val="4D"/>
    <w:family w:val="swiss"/>
    <w:pitch w:val="variable"/>
    <w:sig w:usb0="800000AF" w:usb1="5000204A" w:usb2="00000000" w:usb3="00000000" w:csb0="0000009B"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ngsana New">
    <w:panose1 w:val="02020603050405020304"/>
    <w:charset w:val="DE"/>
    <w:family w:val="roman"/>
    <w:pitch w:val="variable"/>
    <w:sig w:usb0="81000003" w:usb1="00000000" w:usb2="00000000" w:usb3="00000000" w:csb0="00010001" w:csb1="00000000"/>
  </w:font>
  <w:font w:name="Avenir Black">
    <w:altName w:val="Calibri"/>
    <w:charset w:val="4D"/>
    <w:family w:val="swiss"/>
    <w:pitch w:val="variable"/>
    <w:sig w:usb0="800000AF" w:usb1="5000204A" w:usb2="00000000" w:usb3="00000000" w:csb0="0000009B" w:csb1="00000000"/>
  </w:font>
  <w:font w:name="Avenir LT Std 35 Light">
    <w:altName w:val="Calibri"/>
    <w:panose1 w:val="020B0402020203020204"/>
    <w:charset w:val="00"/>
    <w:family w:val="swiss"/>
    <w:notTrueType/>
    <w:pitch w:val="variable"/>
    <w:sig w:usb0="800000AF" w:usb1="4000204A"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Microsoft YaHei UI">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002060"/>
      </w:rPr>
      <w:id w:val="-1551452503"/>
      <w:docPartObj>
        <w:docPartGallery w:val="Page Numbers (Bottom of Page)"/>
        <w:docPartUnique/>
      </w:docPartObj>
    </w:sdtPr>
    <w:sdtEndPr>
      <w:rPr>
        <w:noProof/>
      </w:rPr>
    </w:sdtEndPr>
    <w:sdtContent>
      <w:p w14:paraId="4630E5DF" w14:textId="31244815" w:rsidR="004F6CB8" w:rsidRPr="00CB563F" w:rsidRDefault="004F6CB8">
        <w:pPr>
          <w:pStyle w:val="Footer"/>
          <w:rPr>
            <w:color w:val="002060"/>
          </w:rPr>
        </w:pPr>
        <w:r w:rsidRPr="00CB563F">
          <w:rPr>
            <w:b/>
            <w:bCs/>
            <w:color w:val="002060"/>
          </w:rPr>
          <w:t xml:space="preserve">Page </w:t>
        </w:r>
        <w:r w:rsidRPr="00CB563F">
          <w:rPr>
            <w:b/>
            <w:bCs/>
            <w:color w:val="002060"/>
          </w:rPr>
          <w:fldChar w:fldCharType="begin"/>
        </w:r>
        <w:r w:rsidRPr="00CB563F">
          <w:rPr>
            <w:b/>
            <w:bCs/>
            <w:color w:val="002060"/>
          </w:rPr>
          <w:instrText xml:space="preserve"> PAGE   \* MERGEFORMAT </w:instrText>
        </w:r>
        <w:r w:rsidRPr="00CB563F">
          <w:rPr>
            <w:b/>
            <w:bCs/>
            <w:color w:val="002060"/>
          </w:rPr>
          <w:fldChar w:fldCharType="separate"/>
        </w:r>
        <w:r w:rsidRPr="00CB563F">
          <w:rPr>
            <w:b/>
            <w:bCs/>
            <w:noProof/>
            <w:color w:val="002060"/>
          </w:rPr>
          <w:t>2</w:t>
        </w:r>
        <w:r w:rsidRPr="00CB563F">
          <w:rPr>
            <w:b/>
            <w:bCs/>
            <w:noProof/>
            <w:color w:val="002060"/>
          </w:rPr>
          <w:fldChar w:fldCharType="end"/>
        </w:r>
      </w:p>
    </w:sdtContent>
  </w:sdt>
  <w:p w14:paraId="1905D9AE" w14:textId="0A99B7E8" w:rsidR="00B13664" w:rsidRPr="007D0B8E" w:rsidRDefault="00B13664" w:rsidP="00AC22B0">
    <w:pPr>
      <w:pStyle w:val="Heading1"/>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9FF6FB" w14:textId="6A40E887" w:rsidR="00341718" w:rsidRDefault="000D7CA1" w:rsidP="009C49FA">
    <w:pPr>
      <w:pStyle w:val="Heading1"/>
    </w:pPr>
    <w:r w:rsidRPr="009C49FA">
      <w:rPr>
        <w:noProof/>
        <w:lang w:val="en-AU" w:eastAsia="en-AU"/>
      </w:rPr>
      <w:drawing>
        <wp:anchor distT="0" distB="0" distL="114300" distR="114300" simplePos="0" relativeHeight="251658241" behindDoc="0" locked="0" layoutInCell="1" allowOverlap="1" wp14:anchorId="062A137C" wp14:editId="78819B88">
          <wp:simplePos x="0" y="0"/>
          <wp:positionH relativeFrom="column">
            <wp:posOffset>5500255</wp:posOffset>
          </wp:positionH>
          <wp:positionV relativeFrom="paragraph">
            <wp:posOffset>52574</wp:posOffset>
          </wp:positionV>
          <wp:extent cx="1087120" cy="472183"/>
          <wp:effectExtent l="0" t="0" r="508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CPAA_NAVY_A4C.png"/>
                  <pic:cNvPicPr/>
                </pic:nvPicPr>
                <pic:blipFill>
                  <a:blip r:embed="rId1">
                    <a:extLst>
                      <a:ext uri="{28A0092B-C50C-407E-A947-70E740481C1C}">
                        <a14:useLocalDpi xmlns:a14="http://schemas.microsoft.com/office/drawing/2010/main" val="0"/>
                      </a:ext>
                    </a:extLst>
                  </a:blip>
                  <a:stretch>
                    <a:fillRect/>
                  </a:stretch>
                </pic:blipFill>
                <pic:spPr>
                  <a:xfrm>
                    <a:off x="0" y="0"/>
                    <a:ext cx="1087120" cy="472183"/>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FD86FF" w14:textId="77777777" w:rsidR="006D471C" w:rsidRPr="00321F94" w:rsidRDefault="006D471C" w:rsidP="00321F94">
      <w:pPr>
        <w:pStyle w:val="Footer"/>
      </w:pPr>
      <w:r>
        <w:separator/>
      </w:r>
    </w:p>
  </w:footnote>
  <w:footnote w:type="continuationSeparator" w:id="0">
    <w:p w14:paraId="3C92454C" w14:textId="77777777" w:rsidR="006D471C" w:rsidRDefault="006D471C" w:rsidP="00B136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EE8497" w14:textId="372B79E3" w:rsidR="00083B78" w:rsidRPr="00321F94" w:rsidRDefault="00421BE6" w:rsidP="00B57442">
    <w:pPr>
      <w:pStyle w:val="BodyCopy"/>
      <w:spacing w:after="30"/>
      <w:ind w:left="123" w:firstLine="8099"/>
      <w:rPr>
        <w:rStyle w:val="Bold"/>
        <w:sz w:val="16"/>
        <w:szCs w:val="16"/>
      </w:rPr>
    </w:pPr>
    <w:r w:rsidRPr="00321F94">
      <w:rPr>
        <w:rStyle w:val="Bold"/>
        <w:noProof/>
        <w:sz w:val="16"/>
        <w:szCs w:val="16"/>
        <w:lang w:eastAsia="en-AU" w:bidi="ar-SA"/>
      </w:rPr>
      <mc:AlternateContent>
        <mc:Choice Requires="wps">
          <w:drawing>
            <wp:anchor distT="0" distB="0" distL="114300" distR="114300" simplePos="0" relativeHeight="251658240" behindDoc="0" locked="0" layoutInCell="1" allowOverlap="1" wp14:anchorId="3D5B476F" wp14:editId="7D816460">
              <wp:simplePos x="0" y="0"/>
              <wp:positionH relativeFrom="column">
                <wp:posOffset>-84667</wp:posOffset>
              </wp:positionH>
              <wp:positionV relativeFrom="paragraph">
                <wp:posOffset>-125095</wp:posOffset>
              </wp:positionV>
              <wp:extent cx="4702629" cy="683288"/>
              <wp:effectExtent l="0" t="0" r="0" b="0"/>
              <wp:wrapNone/>
              <wp:docPr id="3" name="Text Box 3"/>
              <wp:cNvGraphicFramePr/>
              <a:graphic xmlns:a="http://schemas.openxmlformats.org/drawingml/2006/main">
                <a:graphicData uri="http://schemas.microsoft.com/office/word/2010/wordprocessingShape">
                  <wps:wsp>
                    <wps:cNvSpPr txBox="1"/>
                    <wps:spPr>
                      <a:xfrm>
                        <a:off x="0" y="0"/>
                        <a:ext cx="4702629" cy="683288"/>
                      </a:xfrm>
                      <a:prstGeom prst="rect">
                        <a:avLst/>
                      </a:prstGeom>
                      <a:noFill/>
                      <a:ln w="6350">
                        <a:noFill/>
                      </a:ln>
                    </wps:spPr>
                    <wps:txbx>
                      <w:txbxContent>
                        <w:p w14:paraId="5D0D9606" w14:textId="4CC5EF11" w:rsidR="00421BE6" w:rsidRPr="00D15000" w:rsidRDefault="00421BE6">
                          <w:pPr>
                            <w:rPr>
                              <w:sz w:val="1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D5B476F" id="_x0000_t202" coordsize="21600,21600" o:spt="202" path="m,l,21600r21600,l21600,xe">
              <v:stroke joinstyle="miter"/>
              <v:path gradientshapeok="t" o:connecttype="rect"/>
            </v:shapetype>
            <v:shape id="Text Box 3" o:spid="_x0000_s1026" type="#_x0000_t202" style="position:absolute;left:0;text-align:left;margin-left:-6.65pt;margin-top:-9.85pt;width:370.3pt;height:53.8pt;z-index:251658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" filled="f" stroked="f" strokeweight=".5pt">
              <v:textbox>
                <w:txbxContent>
                  <w:p w14:paraId="5D0D9606" w14:textId="4CC5EF11" w:rsidR="00421BE6" w:rsidRPr="00D15000" w:rsidRDefault="00421BE6">
                    <w:pPr>
                      <w:rPr>
                        <w:sz w:val="10"/>
                        <w:szCs w:val="20"/>
                      </w:rPr>
                    </w:pPr>
                  </w:p>
                </w:txbxContent>
              </v:textbox>
            </v:shape>
          </w:pict>
        </mc:Fallback>
      </mc:AlternateContent>
    </w:r>
    <w:r w:rsidR="00083B78" w:rsidRPr="00321F94">
      <w:rPr>
        <w:rStyle w:val="Bold"/>
        <w:sz w:val="16"/>
        <w:szCs w:val="16"/>
      </w:rPr>
      <w:t>CPA Australia Ltd</w:t>
    </w:r>
  </w:p>
  <w:p w14:paraId="256823F4" w14:textId="1BD614F4" w:rsidR="00083B78" w:rsidRPr="00321F94" w:rsidRDefault="00083B78" w:rsidP="00B57442">
    <w:pPr>
      <w:pStyle w:val="BodyCopy"/>
      <w:spacing w:after="30"/>
      <w:ind w:left="123" w:firstLine="8099"/>
      <w:rPr>
        <w:sz w:val="16"/>
        <w:szCs w:val="16"/>
      </w:rPr>
    </w:pPr>
    <w:r w:rsidRPr="00321F94">
      <w:rPr>
        <w:sz w:val="16"/>
        <w:szCs w:val="16"/>
      </w:rPr>
      <w:t>ABN 64 008 392 452</w:t>
    </w:r>
  </w:p>
  <w:p w14:paraId="5253E7E6" w14:textId="77777777" w:rsidR="00083B78" w:rsidRPr="00321F94" w:rsidRDefault="00083B78" w:rsidP="00B57442">
    <w:pPr>
      <w:pStyle w:val="BodyCopy"/>
      <w:spacing w:after="30"/>
      <w:ind w:left="123" w:firstLine="8099"/>
      <w:rPr>
        <w:sz w:val="16"/>
        <w:szCs w:val="16"/>
      </w:rPr>
    </w:pPr>
    <w:r w:rsidRPr="00321F94">
      <w:rPr>
        <w:sz w:val="16"/>
        <w:szCs w:val="16"/>
      </w:rPr>
      <w:t>Level 20, 28 Freshwater Place</w:t>
    </w:r>
  </w:p>
  <w:p w14:paraId="27381F62" w14:textId="69934892" w:rsidR="00083B78" w:rsidRPr="00321F94" w:rsidRDefault="00083B78" w:rsidP="00B57442">
    <w:pPr>
      <w:pStyle w:val="BodyCopy"/>
      <w:spacing w:after="30"/>
      <w:ind w:left="123" w:firstLine="8099"/>
      <w:rPr>
        <w:sz w:val="16"/>
        <w:szCs w:val="16"/>
      </w:rPr>
    </w:pPr>
    <w:r w:rsidRPr="00321F94">
      <w:rPr>
        <w:sz w:val="16"/>
        <w:szCs w:val="16"/>
      </w:rPr>
      <w:t>Southbank VIC 3006 Australia</w:t>
    </w:r>
  </w:p>
  <w:p w14:paraId="2F18C0FA" w14:textId="77777777" w:rsidR="00083B78" w:rsidRPr="00321F94" w:rsidRDefault="00083B78" w:rsidP="00B57442">
    <w:pPr>
      <w:pStyle w:val="BodyCopy"/>
      <w:spacing w:after="30"/>
      <w:ind w:left="123" w:firstLine="8099"/>
      <w:rPr>
        <w:sz w:val="16"/>
        <w:szCs w:val="16"/>
      </w:rPr>
    </w:pPr>
    <w:r w:rsidRPr="00321F94">
      <w:rPr>
        <w:sz w:val="16"/>
        <w:szCs w:val="16"/>
      </w:rPr>
      <w:t>GPO Box 2820 Melbourne</w:t>
    </w:r>
  </w:p>
  <w:p w14:paraId="63B01082" w14:textId="77777777" w:rsidR="00083B78" w:rsidRPr="00321F94" w:rsidRDefault="00083B78" w:rsidP="00B57442">
    <w:pPr>
      <w:pStyle w:val="BodyCopy"/>
      <w:spacing w:after="30"/>
      <w:ind w:left="123" w:firstLine="8099"/>
      <w:rPr>
        <w:sz w:val="16"/>
        <w:szCs w:val="16"/>
      </w:rPr>
    </w:pPr>
    <w:r w:rsidRPr="00321F94">
      <w:rPr>
        <w:sz w:val="16"/>
        <w:szCs w:val="16"/>
      </w:rPr>
      <w:t>VIC 3001 Australia</w:t>
    </w:r>
  </w:p>
  <w:p w14:paraId="74763552" w14:textId="77777777" w:rsidR="00083B78" w:rsidRPr="00321F94" w:rsidRDefault="00083B78" w:rsidP="00B57442">
    <w:pPr>
      <w:pStyle w:val="BodyCopy"/>
      <w:spacing w:after="30"/>
      <w:ind w:left="123" w:firstLine="8099"/>
      <w:rPr>
        <w:sz w:val="16"/>
        <w:szCs w:val="16"/>
      </w:rPr>
    </w:pPr>
    <w:r w:rsidRPr="00321F94">
      <w:rPr>
        <w:rStyle w:val="Bold"/>
        <w:sz w:val="16"/>
        <w:szCs w:val="16"/>
      </w:rPr>
      <w:t>T</w:t>
    </w:r>
    <w:r w:rsidRPr="00321F94">
      <w:rPr>
        <w:sz w:val="16"/>
        <w:szCs w:val="16"/>
      </w:rPr>
      <w:t xml:space="preserve"> 1300 737 373</w:t>
    </w:r>
  </w:p>
  <w:p w14:paraId="75E892C8" w14:textId="77777777" w:rsidR="00083B78" w:rsidRPr="00321F94" w:rsidRDefault="00083B78" w:rsidP="00B57442">
    <w:pPr>
      <w:pStyle w:val="BodyCopy"/>
      <w:spacing w:after="30"/>
      <w:ind w:left="123" w:firstLine="8099"/>
      <w:rPr>
        <w:sz w:val="16"/>
        <w:szCs w:val="16"/>
      </w:rPr>
    </w:pPr>
    <w:r w:rsidRPr="00321F94">
      <w:rPr>
        <w:rStyle w:val="Bold"/>
        <w:sz w:val="16"/>
        <w:szCs w:val="16"/>
      </w:rPr>
      <w:t>Outside</w:t>
    </w:r>
    <w:r w:rsidRPr="00321F94">
      <w:rPr>
        <w:sz w:val="16"/>
        <w:szCs w:val="16"/>
      </w:rPr>
      <w:t xml:space="preserve"> Aust +613 9606 9677</w:t>
    </w:r>
  </w:p>
  <w:p w14:paraId="1BDFCD66" w14:textId="027D12A8" w:rsidR="00341718" w:rsidRPr="00321F94" w:rsidRDefault="00083B78" w:rsidP="00B57442">
    <w:pPr>
      <w:pStyle w:val="BodyCopy"/>
      <w:spacing w:after="30"/>
      <w:ind w:left="123" w:firstLine="8099"/>
      <w:rPr>
        <w:sz w:val="16"/>
        <w:szCs w:val="16"/>
      </w:rPr>
    </w:pPr>
    <w:r w:rsidRPr="00321F94">
      <w:rPr>
        <w:rStyle w:val="Bold"/>
        <w:sz w:val="16"/>
        <w:szCs w:val="16"/>
      </w:rPr>
      <w:t>cpaaustralia.com.au</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1782C"/>
    <w:multiLevelType w:val="hybridMultilevel"/>
    <w:tmpl w:val="F338409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 w15:restartNumberingAfterBreak="0">
    <w:nsid w:val="0EB31DC2"/>
    <w:multiLevelType w:val="hybridMultilevel"/>
    <w:tmpl w:val="CAC205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F3B0502"/>
    <w:multiLevelType w:val="hybridMultilevel"/>
    <w:tmpl w:val="98600A32"/>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 w15:restartNumberingAfterBreak="0">
    <w:nsid w:val="0F695779"/>
    <w:multiLevelType w:val="hybridMultilevel"/>
    <w:tmpl w:val="21F051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6F328F5"/>
    <w:multiLevelType w:val="hybridMultilevel"/>
    <w:tmpl w:val="933030FC"/>
    <w:lvl w:ilvl="0" w:tplc="B2A4C670">
      <w:start w:val="1"/>
      <w:numFmt w:val="bullet"/>
      <w:lvlText w:val=""/>
      <w:lvlJc w:val="left"/>
      <w:pPr>
        <w:ind w:left="720" w:hanging="360"/>
      </w:pPr>
      <w:rPr>
        <w:rFonts w:ascii="Symbol" w:hAnsi="Symbol" w:hint="default"/>
        <w:color w:val="00206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7BD75DB"/>
    <w:multiLevelType w:val="hybridMultilevel"/>
    <w:tmpl w:val="75B66338"/>
    <w:lvl w:ilvl="0" w:tplc="AF84018E">
      <w:start w:val="1"/>
      <w:numFmt w:val="lowerLetter"/>
      <w:lvlText w:val="%1)"/>
      <w:lvlJc w:val="left"/>
      <w:pPr>
        <w:ind w:left="720" w:hanging="360"/>
      </w:pPr>
      <w:rPr>
        <w:rFonts w:ascii="Aptos Narrow" w:hAnsi="Aptos Narrow" w:cstheme="minorBidi" w:hint="default"/>
        <w:color w:val="00206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1AFF4F60"/>
    <w:multiLevelType w:val="hybridMultilevel"/>
    <w:tmpl w:val="676037DC"/>
    <w:lvl w:ilvl="0" w:tplc="46187646">
      <w:start w:val="1"/>
      <w:numFmt w:val="lowerLetter"/>
      <w:lvlText w:val="%1)"/>
      <w:lvlJc w:val="left"/>
      <w:pPr>
        <w:ind w:left="720" w:hanging="360"/>
      </w:pPr>
      <w:rPr>
        <w:rFonts w:ascii="Aptos Narrow" w:hAnsi="Aptos Narrow" w:cstheme="minorBidi" w:hint="default"/>
        <w:color w:val="00206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31CA5F45"/>
    <w:multiLevelType w:val="hybridMultilevel"/>
    <w:tmpl w:val="339C2E30"/>
    <w:lvl w:ilvl="0" w:tplc="0C09000F">
      <w:start w:val="1"/>
      <w:numFmt w:val="decimal"/>
      <w:lvlText w:val="%1."/>
      <w:lvlJc w:val="left"/>
      <w:pPr>
        <w:ind w:left="360" w:hanging="360"/>
      </w:p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8" w15:restartNumberingAfterBreak="0">
    <w:nsid w:val="344D3E71"/>
    <w:multiLevelType w:val="hybridMultilevel"/>
    <w:tmpl w:val="20D28186"/>
    <w:lvl w:ilvl="0" w:tplc="708627D2">
      <w:start w:val="1"/>
      <w:numFmt w:val="lowerLetter"/>
      <w:lvlText w:val="%1)"/>
      <w:lvlJc w:val="left"/>
      <w:pPr>
        <w:ind w:left="720" w:hanging="360"/>
      </w:pPr>
      <w:rPr>
        <w:rFonts w:ascii="Aptos Narrow" w:hAnsi="Aptos Narrow" w:cstheme="minorBidi" w:hint="default"/>
        <w:color w:val="00206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36DF45B1"/>
    <w:multiLevelType w:val="hybridMultilevel"/>
    <w:tmpl w:val="8C948518"/>
    <w:lvl w:ilvl="0" w:tplc="5E508BFC">
      <w:start w:val="1"/>
      <w:numFmt w:val="lowerLetter"/>
      <w:lvlText w:val="%1)"/>
      <w:lvlJc w:val="left"/>
      <w:pPr>
        <w:ind w:left="720" w:hanging="360"/>
      </w:pPr>
      <w:rPr>
        <w:rFonts w:ascii="Aptos Narrow" w:hAnsi="Aptos Narrow" w:cstheme="minorBidi" w:hint="default"/>
        <w:color w:val="00206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36F16FC2"/>
    <w:multiLevelType w:val="multilevel"/>
    <w:tmpl w:val="846EF29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3E4A5D26"/>
    <w:multiLevelType w:val="hybridMultilevel"/>
    <w:tmpl w:val="6544522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42DE0B08"/>
    <w:multiLevelType w:val="hybridMultilevel"/>
    <w:tmpl w:val="C1DA675C"/>
    <w:lvl w:ilvl="0" w:tplc="B02C068E">
      <w:start w:val="12"/>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3" w15:restartNumberingAfterBreak="0">
    <w:nsid w:val="45BA3E5C"/>
    <w:multiLevelType w:val="hybridMultilevel"/>
    <w:tmpl w:val="2A1250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4835689D"/>
    <w:multiLevelType w:val="multilevel"/>
    <w:tmpl w:val="0C09001D"/>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5A4E1B59"/>
    <w:multiLevelType w:val="hybridMultilevel"/>
    <w:tmpl w:val="1812DA56"/>
    <w:lvl w:ilvl="0" w:tplc="3ED291A6">
      <w:start w:val="1"/>
      <w:numFmt w:val="lowerLetter"/>
      <w:lvlText w:val="%1)"/>
      <w:lvlJc w:val="left"/>
      <w:pPr>
        <w:ind w:left="720" w:hanging="360"/>
      </w:pPr>
      <w:rPr>
        <w:rFonts w:ascii="Aptos Narrow" w:hAnsi="Aptos Narrow" w:cstheme="minorBidi" w:hint="default"/>
        <w:color w:val="000000"/>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5A8A2B07"/>
    <w:multiLevelType w:val="hybridMultilevel"/>
    <w:tmpl w:val="F192298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639751A3"/>
    <w:multiLevelType w:val="multilevel"/>
    <w:tmpl w:val="51267E8C"/>
    <w:lvl w:ilvl="0">
      <w:start w:val="1"/>
      <w:numFmt w:val="decimal"/>
      <w:lvlText w:val="%1)"/>
      <w:lvlJc w:val="left"/>
      <w:pPr>
        <w:ind w:left="360" w:hanging="360"/>
      </w:pPr>
      <w:rPr>
        <w:b/>
        <w:bCs/>
        <w:color w:val="00206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6750361D"/>
    <w:multiLevelType w:val="hybridMultilevel"/>
    <w:tmpl w:val="94BC6C8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6EE4718A"/>
    <w:multiLevelType w:val="hybridMultilevel"/>
    <w:tmpl w:val="DC2896B4"/>
    <w:lvl w:ilvl="0" w:tplc="0E120636">
      <w:start w:val="1"/>
      <w:numFmt w:val="lowerLetter"/>
      <w:lvlText w:val="%1)"/>
      <w:lvlJc w:val="left"/>
      <w:pPr>
        <w:ind w:left="720" w:hanging="360"/>
      </w:pPr>
      <w:rPr>
        <w:rFonts w:ascii="Aptos Narrow" w:hAnsi="Aptos Narrow" w:cstheme="minorBidi" w:hint="default"/>
        <w:color w:val="00206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70EB2D9D"/>
    <w:multiLevelType w:val="hybridMultilevel"/>
    <w:tmpl w:val="4D36A71A"/>
    <w:lvl w:ilvl="0" w:tplc="2F38D604">
      <w:start w:val="1"/>
      <w:numFmt w:val="bullet"/>
      <w:lvlText w:val=""/>
      <w:lvlJc w:val="left"/>
      <w:pPr>
        <w:ind w:left="360" w:hanging="360"/>
      </w:pPr>
      <w:rPr>
        <w:rFonts w:ascii="Symbol" w:hAnsi="Symbol" w:hint="default"/>
        <w:color w:val="002060"/>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1" w15:restartNumberingAfterBreak="0">
    <w:nsid w:val="77DE592F"/>
    <w:multiLevelType w:val="hybridMultilevel"/>
    <w:tmpl w:val="E592B32A"/>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2" w15:restartNumberingAfterBreak="0">
    <w:nsid w:val="797D7458"/>
    <w:multiLevelType w:val="hybridMultilevel"/>
    <w:tmpl w:val="6B8A2F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112627071">
    <w:abstractNumId w:val="17"/>
  </w:num>
  <w:num w:numId="2" w16cid:durableId="1638224114">
    <w:abstractNumId w:val="1"/>
  </w:num>
  <w:num w:numId="3" w16cid:durableId="390810776">
    <w:abstractNumId w:val="10"/>
  </w:num>
  <w:num w:numId="4" w16cid:durableId="1103646718">
    <w:abstractNumId w:val="6"/>
  </w:num>
  <w:num w:numId="5" w16cid:durableId="108161128">
    <w:abstractNumId w:val="19"/>
  </w:num>
  <w:num w:numId="6" w16cid:durableId="1809198961">
    <w:abstractNumId w:val="8"/>
  </w:num>
  <w:num w:numId="7" w16cid:durableId="975453248">
    <w:abstractNumId w:val="15"/>
  </w:num>
  <w:num w:numId="8" w16cid:durableId="1223061029">
    <w:abstractNumId w:val="14"/>
  </w:num>
  <w:num w:numId="9" w16cid:durableId="355885140">
    <w:abstractNumId w:val="5"/>
  </w:num>
  <w:num w:numId="10" w16cid:durableId="1939633569">
    <w:abstractNumId w:val="9"/>
  </w:num>
  <w:num w:numId="11" w16cid:durableId="2081363786">
    <w:abstractNumId w:val="4"/>
  </w:num>
  <w:num w:numId="12" w16cid:durableId="1931504862">
    <w:abstractNumId w:val="11"/>
  </w:num>
  <w:num w:numId="13" w16cid:durableId="1078789923">
    <w:abstractNumId w:val="0"/>
  </w:num>
  <w:num w:numId="14" w16cid:durableId="1407412887">
    <w:abstractNumId w:val="20"/>
  </w:num>
  <w:num w:numId="15" w16cid:durableId="165025197">
    <w:abstractNumId w:val="13"/>
  </w:num>
  <w:num w:numId="16" w16cid:durableId="659773165">
    <w:abstractNumId w:val="2"/>
  </w:num>
  <w:num w:numId="17" w16cid:durableId="793017787">
    <w:abstractNumId w:val="18"/>
  </w:num>
  <w:num w:numId="18" w16cid:durableId="1617371476">
    <w:abstractNumId w:val="12"/>
  </w:num>
  <w:num w:numId="19" w16cid:durableId="1584605921">
    <w:abstractNumId w:val="7"/>
  </w:num>
  <w:num w:numId="20" w16cid:durableId="911811735">
    <w:abstractNumId w:val="21"/>
  </w:num>
  <w:num w:numId="21" w16cid:durableId="663896570">
    <w:abstractNumId w:val="16"/>
  </w:num>
  <w:num w:numId="22" w16cid:durableId="1879389864">
    <w:abstractNumId w:val="3"/>
  </w:num>
  <w:num w:numId="23" w16cid:durableId="53968019">
    <w:abstractNumId w:val="2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0032"/>
    <w:rsid w:val="00000255"/>
    <w:rsid w:val="00000F56"/>
    <w:rsid w:val="000017DA"/>
    <w:rsid w:val="00001FDB"/>
    <w:rsid w:val="000021A9"/>
    <w:rsid w:val="000024E8"/>
    <w:rsid w:val="000027C9"/>
    <w:rsid w:val="00002A14"/>
    <w:rsid w:val="00002C33"/>
    <w:rsid w:val="000030DF"/>
    <w:rsid w:val="00003238"/>
    <w:rsid w:val="00003649"/>
    <w:rsid w:val="00003D98"/>
    <w:rsid w:val="00004845"/>
    <w:rsid w:val="00004B80"/>
    <w:rsid w:val="00004CF8"/>
    <w:rsid w:val="00004E7E"/>
    <w:rsid w:val="00005BA6"/>
    <w:rsid w:val="00005E13"/>
    <w:rsid w:val="000062EC"/>
    <w:rsid w:val="000064C2"/>
    <w:rsid w:val="0000658A"/>
    <w:rsid w:val="000067C0"/>
    <w:rsid w:val="00006FDE"/>
    <w:rsid w:val="00007060"/>
    <w:rsid w:val="0000743C"/>
    <w:rsid w:val="00007F08"/>
    <w:rsid w:val="00007F92"/>
    <w:rsid w:val="000104C9"/>
    <w:rsid w:val="00010586"/>
    <w:rsid w:val="00010B0E"/>
    <w:rsid w:val="00010B48"/>
    <w:rsid w:val="00010BC0"/>
    <w:rsid w:val="00011060"/>
    <w:rsid w:val="00011698"/>
    <w:rsid w:val="00011739"/>
    <w:rsid w:val="000121AF"/>
    <w:rsid w:val="000122D0"/>
    <w:rsid w:val="00012438"/>
    <w:rsid w:val="0001281A"/>
    <w:rsid w:val="00012E51"/>
    <w:rsid w:val="00012F17"/>
    <w:rsid w:val="00013459"/>
    <w:rsid w:val="000138FF"/>
    <w:rsid w:val="00013A6F"/>
    <w:rsid w:val="00013BEE"/>
    <w:rsid w:val="00013CB9"/>
    <w:rsid w:val="00014167"/>
    <w:rsid w:val="00014272"/>
    <w:rsid w:val="00014CD1"/>
    <w:rsid w:val="00015B9D"/>
    <w:rsid w:val="00016152"/>
    <w:rsid w:val="000163B1"/>
    <w:rsid w:val="00016C35"/>
    <w:rsid w:val="00017F7F"/>
    <w:rsid w:val="00020104"/>
    <w:rsid w:val="00020245"/>
    <w:rsid w:val="00020671"/>
    <w:rsid w:val="000207F2"/>
    <w:rsid w:val="00020AED"/>
    <w:rsid w:val="000215A4"/>
    <w:rsid w:val="0002187B"/>
    <w:rsid w:val="00021C65"/>
    <w:rsid w:val="00022395"/>
    <w:rsid w:val="00022516"/>
    <w:rsid w:val="00022CEA"/>
    <w:rsid w:val="00023288"/>
    <w:rsid w:val="000234FF"/>
    <w:rsid w:val="00023606"/>
    <w:rsid w:val="00024594"/>
    <w:rsid w:val="00024D03"/>
    <w:rsid w:val="00025521"/>
    <w:rsid w:val="00025903"/>
    <w:rsid w:val="00025BBC"/>
    <w:rsid w:val="00025BC7"/>
    <w:rsid w:val="00025EE0"/>
    <w:rsid w:val="00026698"/>
    <w:rsid w:val="00026727"/>
    <w:rsid w:val="00026BDC"/>
    <w:rsid w:val="000270D4"/>
    <w:rsid w:val="00027691"/>
    <w:rsid w:val="000276D0"/>
    <w:rsid w:val="00027916"/>
    <w:rsid w:val="00027B3C"/>
    <w:rsid w:val="00027ED5"/>
    <w:rsid w:val="000308CC"/>
    <w:rsid w:val="00030A83"/>
    <w:rsid w:val="00030CF8"/>
    <w:rsid w:val="00030E3C"/>
    <w:rsid w:val="000312C0"/>
    <w:rsid w:val="000313B1"/>
    <w:rsid w:val="00031512"/>
    <w:rsid w:val="000319C5"/>
    <w:rsid w:val="00031AA4"/>
    <w:rsid w:val="00031B4F"/>
    <w:rsid w:val="00031EBA"/>
    <w:rsid w:val="0003257A"/>
    <w:rsid w:val="00032589"/>
    <w:rsid w:val="00033184"/>
    <w:rsid w:val="000331D6"/>
    <w:rsid w:val="000332C9"/>
    <w:rsid w:val="00033848"/>
    <w:rsid w:val="00033ABC"/>
    <w:rsid w:val="00033E89"/>
    <w:rsid w:val="000341CE"/>
    <w:rsid w:val="00034E7D"/>
    <w:rsid w:val="000354C1"/>
    <w:rsid w:val="00035C83"/>
    <w:rsid w:val="0003686C"/>
    <w:rsid w:val="000368A8"/>
    <w:rsid w:val="000369A4"/>
    <w:rsid w:val="000369CA"/>
    <w:rsid w:val="00036B2D"/>
    <w:rsid w:val="00036D10"/>
    <w:rsid w:val="000378BF"/>
    <w:rsid w:val="00037A5A"/>
    <w:rsid w:val="00041914"/>
    <w:rsid w:val="00041CFD"/>
    <w:rsid w:val="00042728"/>
    <w:rsid w:val="00042903"/>
    <w:rsid w:val="00042DE4"/>
    <w:rsid w:val="000436BA"/>
    <w:rsid w:val="000438F6"/>
    <w:rsid w:val="00043990"/>
    <w:rsid w:val="00043AED"/>
    <w:rsid w:val="000448E2"/>
    <w:rsid w:val="00045221"/>
    <w:rsid w:val="00045C2E"/>
    <w:rsid w:val="00045EB8"/>
    <w:rsid w:val="00045FD4"/>
    <w:rsid w:val="000460C5"/>
    <w:rsid w:val="000463C8"/>
    <w:rsid w:val="000467F2"/>
    <w:rsid w:val="0004695C"/>
    <w:rsid w:val="00047477"/>
    <w:rsid w:val="000475D0"/>
    <w:rsid w:val="000478B4"/>
    <w:rsid w:val="00047CC7"/>
    <w:rsid w:val="00050085"/>
    <w:rsid w:val="000502A4"/>
    <w:rsid w:val="000510D4"/>
    <w:rsid w:val="000512E5"/>
    <w:rsid w:val="00051EE0"/>
    <w:rsid w:val="00052170"/>
    <w:rsid w:val="00052456"/>
    <w:rsid w:val="00052D49"/>
    <w:rsid w:val="00052F86"/>
    <w:rsid w:val="00053552"/>
    <w:rsid w:val="000536BC"/>
    <w:rsid w:val="00054122"/>
    <w:rsid w:val="000542B3"/>
    <w:rsid w:val="00054D7E"/>
    <w:rsid w:val="00055186"/>
    <w:rsid w:val="00055444"/>
    <w:rsid w:val="00055B0D"/>
    <w:rsid w:val="00055BC6"/>
    <w:rsid w:val="00056653"/>
    <w:rsid w:val="000568E6"/>
    <w:rsid w:val="00057501"/>
    <w:rsid w:val="00057FFB"/>
    <w:rsid w:val="000601DE"/>
    <w:rsid w:val="000602E2"/>
    <w:rsid w:val="00060466"/>
    <w:rsid w:val="0006057F"/>
    <w:rsid w:val="000609D1"/>
    <w:rsid w:val="00060A2C"/>
    <w:rsid w:val="00061676"/>
    <w:rsid w:val="00062099"/>
    <w:rsid w:val="0006236F"/>
    <w:rsid w:val="00062669"/>
    <w:rsid w:val="0006280C"/>
    <w:rsid w:val="00062C9F"/>
    <w:rsid w:val="00062D52"/>
    <w:rsid w:val="000632C1"/>
    <w:rsid w:val="00063325"/>
    <w:rsid w:val="0006381E"/>
    <w:rsid w:val="00063884"/>
    <w:rsid w:val="00063C13"/>
    <w:rsid w:val="00064A47"/>
    <w:rsid w:val="000653B8"/>
    <w:rsid w:val="00065720"/>
    <w:rsid w:val="0006582A"/>
    <w:rsid w:val="00065E88"/>
    <w:rsid w:val="00065F9D"/>
    <w:rsid w:val="0006607D"/>
    <w:rsid w:val="0006618F"/>
    <w:rsid w:val="00066637"/>
    <w:rsid w:val="000674E0"/>
    <w:rsid w:val="00067AE3"/>
    <w:rsid w:val="00067BBA"/>
    <w:rsid w:val="00070070"/>
    <w:rsid w:val="000703DF"/>
    <w:rsid w:val="000709C8"/>
    <w:rsid w:val="00070BF2"/>
    <w:rsid w:val="00070D1C"/>
    <w:rsid w:val="00071487"/>
    <w:rsid w:val="00071A35"/>
    <w:rsid w:val="00072047"/>
    <w:rsid w:val="000722BD"/>
    <w:rsid w:val="00072807"/>
    <w:rsid w:val="00072E06"/>
    <w:rsid w:val="00073394"/>
    <w:rsid w:val="000733FE"/>
    <w:rsid w:val="00073768"/>
    <w:rsid w:val="00073A75"/>
    <w:rsid w:val="00073C02"/>
    <w:rsid w:val="00073DFB"/>
    <w:rsid w:val="00073F0C"/>
    <w:rsid w:val="0007404B"/>
    <w:rsid w:val="0007456A"/>
    <w:rsid w:val="0007468B"/>
    <w:rsid w:val="00074C37"/>
    <w:rsid w:val="00074C85"/>
    <w:rsid w:val="00074FE5"/>
    <w:rsid w:val="00075061"/>
    <w:rsid w:val="0007528B"/>
    <w:rsid w:val="00075458"/>
    <w:rsid w:val="0007582D"/>
    <w:rsid w:val="00075991"/>
    <w:rsid w:val="000759AC"/>
    <w:rsid w:val="00075B78"/>
    <w:rsid w:val="00075F98"/>
    <w:rsid w:val="0007655F"/>
    <w:rsid w:val="00076635"/>
    <w:rsid w:val="00077844"/>
    <w:rsid w:val="00077987"/>
    <w:rsid w:val="00081068"/>
    <w:rsid w:val="0008166F"/>
    <w:rsid w:val="000819F3"/>
    <w:rsid w:val="00082BFD"/>
    <w:rsid w:val="0008319C"/>
    <w:rsid w:val="0008326D"/>
    <w:rsid w:val="00083383"/>
    <w:rsid w:val="0008359A"/>
    <w:rsid w:val="000835A2"/>
    <w:rsid w:val="000836C6"/>
    <w:rsid w:val="00083887"/>
    <w:rsid w:val="00083B78"/>
    <w:rsid w:val="000844AF"/>
    <w:rsid w:val="00085294"/>
    <w:rsid w:val="00085835"/>
    <w:rsid w:val="00085ADB"/>
    <w:rsid w:val="00085C3A"/>
    <w:rsid w:val="0008643A"/>
    <w:rsid w:val="00086618"/>
    <w:rsid w:val="00086738"/>
    <w:rsid w:val="00086DF8"/>
    <w:rsid w:val="00086E0C"/>
    <w:rsid w:val="00086E35"/>
    <w:rsid w:val="00087033"/>
    <w:rsid w:val="000872DF"/>
    <w:rsid w:val="00087417"/>
    <w:rsid w:val="00087A83"/>
    <w:rsid w:val="00087CF4"/>
    <w:rsid w:val="00090084"/>
    <w:rsid w:val="000907A9"/>
    <w:rsid w:val="000908B6"/>
    <w:rsid w:val="00090DDD"/>
    <w:rsid w:val="00090E76"/>
    <w:rsid w:val="00090EB4"/>
    <w:rsid w:val="00091033"/>
    <w:rsid w:val="00091A2B"/>
    <w:rsid w:val="00092FD1"/>
    <w:rsid w:val="000930D5"/>
    <w:rsid w:val="0009338B"/>
    <w:rsid w:val="00093508"/>
    <w:rsid w:val="0009352E"/>
    <w:rsid w:val="00093961"/>
    <w:rsid w:val="000939A2"/>
    <w:rsid w:val="00093AEE"/>
    <w:rsid w:val="0009437A"/>
    <w:rsid w:val="000949E6"/>
    <w:rsid w:val="00094E9D"/>
    <w:rsid w:val="00094F8C"/>
    <w:rsid w:val="00095EA0"/>
    <w:rsid w:val="000971E6"/>
    <w:rsid w:val="00097C88"/>
    <w:rsid w:val="00097F16"/>
    <w:rsid w:val="000A0042"/>
    <w:rsid w:val="000A044C"/>
    <w:rsid w:val="000A04A6"/>
    <w:rsid w:val="000A04FF"/>
    <w:rsid w:val="000A07F3"/>
    <w:rsid w:val="000A0A73"/>
    <w:rsid w:val="000A15DF"/>
    <w:rsid w:val="000A1C41"/>
    <w:rsid w:val="000A1DEF"/>
    <w:rsid w:val="000A205C"/>
    <w:rsid w:val="000A29EB"/>
    <w:rsid w:val="000A31E3"/>
    <w:rsid w:val="000A464B"/>
    <w:rsid w:val="000A4748"/>
    <w:rsid w:val="000A480D"/>
    <w:rsid w:val="000A49FD"/>
    <w:rsid w:val="000A50E1"/>
    <w:rsid w:val="000A5407"/>
    <w:rsid w:val="000A574A"/>
    <w:rsid w:val="000A605E"/>
    <w:rsid w:val="000A60A3"/>
    <w:rsid w:val="000A63F4"/>
    <w:rsid w:val="000A6523"/>
    <w:rsid w:val="000A6BFA"/>
    <w:rsid w:val="000A6D44"/>
    <w:rsid w:val="000A6EA9"/>
    <w:rsid w:val="000A70C4"/>
    <w:rsid w:val="000A713C"/>
    <w:rsid w:val="000A72E2"/>
    <w:rsid w:val="000A73E6"/>
    <w:rsid w:val="000A7607"/>
    <w:rsid w:val="000A7852"/>
    <w:rsid w:val="000A792A"/>
    <w:rsid w:val="000A7C70"/>
    <w:rsid w:val="000A7EFE"/>
    <w:rsid w:val="000B0A67"/>
    <w:rsid w:val="000B1C08"/>
    <w:rsid w:val="000B2C44"/>
    <w:rsid w:val="000B3357"/>
    <w:rsid w:val="000B40AB"/>
    <w:rsid w:val="000B413C"/>
    <w:rsid w:val="000B41BC"/>
    <w:rsid w:val="000B43CC"/>
    <w:rsid w:val="000B484E"/>
    <w:rsid w:val="000B59E3"/>
    <w:rsid w:val="000B5B11"/>
    <w:rsid w:val="000B63D0"/>
    <w:rsid w:val="000B6BEC"/>
    <w:rsid w:val="000B6DCE"/>
    <w:rsid w:val="000B743D"/>
    <w:rsid w:val="000B74AA"/>
    <w:rsid w:val="000B7DB0"/>
    <w:rsid w:val="000C0534"/>
    <w:rsid w:val="000C0B42"/>
    <w:rsid w:val="000C0E9A"/>
    <w:rsid w:val="000C13F9"/>
    <w:rsid w:val="000C1C33"/>
    <w:rsid w:val="000C25A4"/>
    <w:rsid w:val="000C2777"/>
    <w:rsid w:val="000C2846"/>
    <w:rsid w:val="000C2D27"/>
    <w:rsid w:val="000C2DE9"/>
    <w:rsid w:val="000C3E56"/>
    <w:rsid w:val="000C4511"/>
    <w:rsid w:val="000C461C"/>
    <w:rsid w:val="000C465B"/>
    <w:rsid w:val="000C497F"/>
    <w:rsid w:val="000C4ED9"/>
    <w:rsid w:val="000C5489"/>
    <w:rsid w:val="000C571E"/>
    <w:rsid w:val="000C5897"/>
    <w:rsid w:val="000C5B10"/>
    <w:rsid w:val="000C5C09"/>
    <w:rsid w:val="000C5C1E"/>
    <w:rsid w:val="000C5E25"/>
    <w:rsid w:val="000C641E"/>
    <w:rsid w:val="000C6804"/>
    <w:rsid w:val="000C69B0"/>
    <w:rsid w:val="000C6D22"/>
    <w:rsid w:val="000C721C"/>
    <w:rsid w:val="000C792E"/>
    <w:rsid w:val="000C7ECC"/>
    <w:rsid w:val="000D03C7"/>
    <w:rsid w:val="000D09AB"/>
    <w:rsid w:val="000D0BF6"/>
    <w:rsid w:val="000D0C95"/>
    <w:rsid w:val="000D14D9"/>
    <w:rsid w:val="000D223B"/>
    <w:rsid w:val="000D246D"/>
    <w:rsid w:val="000D26B4"/>
    <w:rsid w:val="000D26C1"/>
    <w:rsid w:val="000D2A6A"/>
    <w:rsid w:val="000D2ABB"/>
    <w:rsid w:val="000D34A2"/>
    <w:rsid w:val="000D352D"/>
    <w:rsid w:val="000D3F95"/>
    <w:rsid w:val="000D4566"/>
    <w:rsid w:val="000D46A6"/>
    <w:rsid w:val="000D46C4"/>
    <w:rsid w:val="000D5F55"/>
    <w:rsid w:val="000D601D"/>
    <w:rsid w:val="000D644B"/>
    <w:rsid w:val="000D6BF3"/>
    <w:rsid w:val="000D6C93"/>
    <w:rsid w:val="000D701A"/>
    <w:rsid w:val="000D7843"/>
    <w:rsid w:val="000D7CA1"/>
    <w:rsid w:val="000E08B9"/>
    <w:rsid w:val="000E09C3"/>
    <w:rsid w:val="000E0A06"/>
    <w:rsid w:val="000E0A7F"/>
    <w:rsid w:val="000E0D9F"/>
    <w:rsid w:val="000E0E85"/>
    <w:rsid w:val="000E0FFA"/>
    <w:rsid w:val="000E1ABC"/>
    <w:rsid w:val="000E1B27"/>
    <w:rsid w:val="000E1F7B"/>
    <w:rsid w:val="000E253A"/>
    <w:rsid w:val="000E2BFA"/>
    <w:rsid w:val="000E2D1C"/>
    <w:rsid w:val="000E2FCD"/>
    <w:rsid w:val="000E302C"/>
    <w:rsid w:val="000E31D6"/>
    <w:rsid w:val="000E39D6"/>
    <w:rsid w:val="000E3D27"/>
    <w:rsid w:val="000E4A12"/>
    <w:rsid w:val="000E5286"/>
    <w:rsid w:val="000E54F3"/>
    <w:rsid w:val="000E61EF"/>
    <w:rsid w:val="000E6254"/>
    <w:rsid w:val="000E664B"/>
    <w:rsid w:val="000E78D0"/>
    <w:rsid w:val="000F1040"/>
    <w:rsid w:val="000F105A"/>
    <w:rsid w:val="000F10F2"/>
    <w:rsid w:val="000F139D"/>
    <w:rsid w:val="000F17DD"/>
    <w:rsid w:val="000F1B07"/>
    <w:rsid w:val="000F1EAE"/>
    <w:rsid w:val="000F27FC"/>
    <w:rsid w:val="000F32AE"/>
    <w:rsid w:val="000F3672"/>
    <w:rsid w:val="000F3706"/>
    <w:rsid w:val="000F3996"/>
    <w:rsid w:val="000F3A09"/>
    <w:rsid w:val="000F43D0"/>
    <w:rsid w:val="000F4651"/>
    <w:rsid w:val="000F4893"/>
    <w:rsid w:val="000F5CAC"/>
    <w:rsid w:val="000F5DB7"/>
    <w:rsid w:val="000F5DC7"/>
    <w:rsid w:val="000F5FDD"/>
    <w:rsid w:val="000F6058"/>
    <w:rsid w:val="000F64BB"/>
    <w:rsid w:val="000F6EC2"/>
    <w:rsid w:val="000F6FB6"/>
    <w:rsid w:val="000F722D"/>
    <w:rsid w:val="000F794E"/>
    <w:rsid w:val="000F7F38"/>
    <w:rsid w:val="001004D6"/>
    <w:rsid w:val="001005BC"/>
    <w:rsid w:val="0010091A"/>
    <w:rsid w:val="00100D27"/>
    <w:rsid w:val="00100FCC"/>
    <w:rsid w:val="00100FD2"/>
    <w:rsid w:val="001013ED"/>
    <w:rsid w:val="00101A46"/>
    <w:rsid w:val="00101D4D"/>
    <w:rsid w:val="00101FF7"/>
    <w:rsid w:val="00102098"/>
    <w:rsid w:val="001025E3"/>
    <w:rsid w:val="00102C84"/>
    <w:rsid w:val="00102EF5"/>
    <w:rsid w:val="00103C91"/>
    <w:rsid w:val="00103EF6"/>
    <w:rsid w:val="001051AF"/>
    <w:rsid w:val="0010573F"/>
    <w:rsid w:val="001057C4"/>
    <w:rsid w:val="001060D6"/>
    <w:rsid w:val="0010673C"/>
    <w:rsid w:val="00106B3B"/>
    <w:rsid w:val="00106C58"/>
    <w:rsid w:val="00106E1E"/>
    <w:rsid w:val="001102A0"/>
    <w:rsid w:val="001104E9"/>
    <w:rsid w:val="00110522"/>
    <w:rsid w:val="001107BF"/>
    <w:rsid w:val="00110D9C"/>
    <w:rsid w:val="00110F12"/>
    <w:rsid w:val="0011164F"/>
    <w:rsid w:val="001116C4"/>
    <w:rsid w:val="00112202"/>
    <w:rsid w:val="00112652"/>
    <w:rsid w:val="00112C91"/>
    <w:rsid w:val="00112F3A"/>
    <w:rsid w:val="001130D0"/>
    <w:rsid w:val="00113458"/>
    <w:rsid w:val="0011353D"/>
    <w:rsid w:val="00114496"/>
    <w:rsid w:val="00114EA8"/>
    <w:rsid w:val="00114FA2"/>
    <w:rsid w:val="001153A1"/>
    <w:rsid w:val="001163A1"/>
    <w:rsid w:val="001163C1"/>
    <w:rsid w:val="001164BB"/>
    <w:rsid w:val="0011650F"/>
    <w:rsid w:val="00116CB8"/>
    <w:rsid w:val="00116E0E"/>
    <w:rsid w:val="00116F77"/>
    <w:rsid w:val="0011763B"/>
    <w:rsid w:val="001176CF"/>
    <w:rsid w:val="00117CEE"/>
    <w:rsid w:val="00117D20"/>
    <w:rsid w:val="001210D1"/>
    <w:rsid w:val="0012129C"/>
    <w:rsid w:val="00121566"/>
    <w:rsid w:val="00121660"/>
    <w:rsid w:val="0012177B"/>
    <w:rsid w:val="00121D72"/>
    <w:rsid w:val="00122191"/>
    <w:rsid w:val="001225D4"/>
    <w:rsid w:val="00122989"/>
    <w:rsid w:val="00123B0C"/>
    <w:rsid w:val="0012404A"/>
    <w:rsid w:val="00124711"/>
    <w:rsid w:val="00124A18"/>
    <w:rsid w:val="00124CCF"/>
    <w:rsid w:val="00124D77"/>
    <w:rsid w:val="0012519B"/>
    <w:rsid w:val="0012523F"/>
    <w:rsid w:val="0012652B"/>
    <w:rsid w:val="00126540"/>
    <w:rsid w:val="00126817"/>
    <w:rsid w:val="00126DC8"/>
    <w:rsid w:val="00126E10"/>
    <w:rsid w:val="001273C7"/>
    <w:rsid w:val="0012773E"/>
    <w:rsid w:val="00130871"/>
    <w:rsid w:val="00131033"/>
    <w:rsid w:val="00131073"/>
    <w:rsid w:val="00131121"/>
    <w:rsid w:val="001318B9"/>
    <w:rsid w:val="00131D16"/>
    <w:rsid w:val="001320EA"/>
    <w:rsid w:val="0013251F"/>
    <w:rsid w:val="00132FBB"/>
    <w:rsid w:val="00133312"/>
    <w:rsid w:val="00133904"/>
    <w:rsid w:val="00134135"/>
    <w:rsid w:val="0013474C"/>
    <w:rsid w:val="00134B6A"/>
    <w:rsid w:val="00134D0D"/>
    <w:rsid w:val="00135777"/>
    <w:rsid w:val="00135823"/>
    <w:rsid w:val="001359BC"/>
    <w:rsid w:val="00135A7C"/>
    <w:rsid w:val="00135DB0"/>
    <w:rsid w:val="00136134"/>
    <w:rsid w:val="00136265"/>
    <w:rsid w:val="001371B4"/>
    <w:rsid w:val="001371FD"/>
    <w:rsid w:val="00137668"/>
    <w:rsid w:val="001405C8"/>
    <w:rsid w:val="001409AE"/>
    <w:rsid w:val="00140D91"/>
    <w:rsid w:val="00140E43"/>
    <w:rsid w:val="0014102D"/>
    <w:rsid w:val="00141442"/>
    <w:rsid w:val="0014155D"/>
    <w:rsid w:val="00141DE3"/>
    <w:rsid w:val="00142911"/>
    <w:rsid w:val="00142B0E"/>
    <w:rsid w:val="001433D6"/>
    <w:rsid w:val="0014345E"/>
    <w:rsid w:val="0014479B"/>
    <w:rsid w:val="001449B5"/>
    <w:rsid w:val="00144EF7"/>
    <w:rsid w:val="0014583F"/>
    <w:rsid w:val="00145CA2"/>
    <w:rsid w:val="00145F0D"/>
    <w:rsid w:val="001461C7"/>
    <w:rsid w:val="00146493"/>
    <w:rsid w:val="001468EA"/>
    <w:rsid w:val="001470C4"/>
    <w:rsid w:val="00147102"/>
    <w:rsid w:val="001473DE"/>
    <w:rsid w:val="00147C89"/>
    <w:rsid w:val="00147D4F"/>
    <w:rsid w:val="00147DF3"/>
    <w:rsid w:val="00150896"/>
    <w:rsid w:val="00150C7C"/>
    <w:rsid w:val="00151381"/>
    <w:rsid w:val="0015143D"/>
    <w:rsid w:val="001517AC"/>
    <w:rsid w:val="001518E2"/>
    <w:rsid w:val="001520EB"/>
    <w:rsid w:val="001523D8"/>
    <w:rsid w:val="00152708"/>
    <w:rsid w:val="00152D71"/>
    <w:rsid w:val="00152FCE"/>
    <w:rsid w:val="001532A6"/>
    <w:rsid w:val="00153747"/>
    <w:rsid w:val="00153FCE"/>
    <w:rsid w:val="0015478F"/>
    <w:rsid w:val="00154FD7"/>
    <w:rsid w:val="00155D28"/>
    <w:rsid w:val="00155F46"/>
    <w:rsid w:val="00156387"/>
    <w:rsid w:val="00156BD4"/>
    <w:rsid w:val="001571CA"/>
    <w:rsid w:val="00157BEB"/>
    <w:rsid w:val="001613A5"/>
    <w:rsid w:val="00161626"/>
    <w:rsid w:val="00161770"/>
    <w:rsid w:val="001617F5"/>
    <w:rsid w:val="001621FC"/>
    <w:rsid w:val="001629F6"/>
    <w:rsid w:val="00162AB7"/>
    <w:rsid w:val="00162F06"/>
    <w:rsid w:val="0016377B"/>
    <w:rsid w:val="00163A49"/>
    <w:rsid w:val="00163ED5"/>
    <w:rsid w:val="001648DA"/>
    <w:rsid w:val="001652C0"/>
    <w:rsid w:val="0016553E"/>
    <w:rsid w:val="00165D43"/>
    <w:rsid w:val="00165FAC"/>
    <w:rsid w:val="0016631E"/>
    <w:rsid w:val="00166859"/>
    <w:rsid w:val="00166951"/>
    <w:rsid w:val="0016696B"/>
    <w:rsid w:val="00166FC6"/>
    <w:rsid w:val="00167576"/>
    <w:rsid w:val="00167D76"/>
    <w:rsid w:val="00170A3B"/>
    <w:rsid w:val="00171217"/>
    <w:rsid w:val="00173674"/>
    <w:rsid w:val="00173736"/>
    <w:rsid w:val="001739BE"/>
    <w:rsid w:val="00174917"/>
    <w:rsid w:val="00174B5F"/>
    <w:rsid w:val="00174BEE"/>
    <w:rsid w:val="00174F78"/>
    <w:rsid w:val="00175C55"/>
    <w:rsid w:val="00175F35"/>
    <w:rsid w:val="00176028"/>
    <w:rsid w:val="00176044"/>
    <w:rsid w:val="0017608E"/>
    <w:rsid w:val="001760C0"/>
    <w:rsid w:val="001761CA"/>
    <w:rsid w:val="0017634C"/>
    <w:rsid w:val="0017634D"/>
    <w:rsid w:val="001763DB"/>
    <w:rsid w:val="0017742B"/>
    <w:rsid w:val="001779C2"/>
    <w:rsid w:val="001800B7"/>
    <w:rsid w:val="001806A3"/>
    <w:rsid w:val="0018092E"/>
    <w:rsid w:val="00180BB2"/>
    <w:rsid w:val="00180D5A"/>
    <w:rsid w:val="00181424"/>
    <w:rsid w:val="00181D55"/>
    <w:rsid w:val="00182633"/>
    <w:rsid w:val="00182752"/>
    <w:rsid w:val="001837F3"/>
    <w:rsid w:val="0018395D"/>
    <w:rsid w:val="00183AB3"/>
    <w:rsid w:val="00183BDC"/>
    <w:rsid w:val="0018401C"/>
    <w:rsid w:val="001843C7"/>
    <w:rsid w:val="00184480"/>
    <w:rsid w:val="00184DF6"/>
    <w:rsid w:val="001850B7"/>
    <w:rsid w:val="0018540B"/>
    <w:rsid w:val="0018541E"/>
    <w:rsid w:val="00185B1D"/>
    <w:rsid w:val="00185BF7"/>
    <w:rsid w:val="00185F51"/>
    <w:rsid w:val="00185F7D"/>
    <w:rsid w:val="00186978"/>
    <w:rsid w:val="00186C8A"/>
    <w:rsid w:val="00186F65"/>
    <w:rsid w:val="00187C30"/>
    <w:rsid w:val="00187CD1"/>
    <w:rsid w:val="00190B73"/>
    <w:rsid w:val="00190BC0"/>
    <w:rsid w:val="00190F88"/>
    <w:rsid w:val="00191820"/>
    <w:rsid w:val="00191AA8"/>
    <w:rsid w:val="00191F1D"/>
    <w:rsid w:val="0019277F"/>
    <w:rsid w:val="001927FE"/>
    <w:rsid w:val="00193031"/>
    <w:rsid w:val="00193B57"/>
    <w:rsid w:val="00194543"/>
    <w:rsid w:val="00194693"/>
    <w:rsid w:val="00194973"/>
    <w:rsid w:val="001949A1"/>
    <w:rsid w:val="00194A40"/>
    <w:rsid w:val="00194F14"/>
    <w:rsid w:val="00195040"/>
    <w:rsid w:val="001952BD"/>
    <w:rsid w:val="0019545D"/>
    <w:rsid w:val="001960BB"/>
    <w:rsid w:val="00196136"/>
    <w:rsid w:val="001961E6"/>
    <w:rsid w:val="001966AE"/>
    <w:rsid w:val="0019678A"/>
    <w:rsid w:val="0019697B"/>
    <w:rsid w:val="00196BB5"/>
    <w:rsid w:val="001970E4"/>
    <w:rsid w:val="0019744F"/>
    <w:rsid w:val="0019780A"/>
    <w:rsid w:val="001A0480"/>
    <w:rsid w:val="001A0552"/>
    <w:rsid w:val="001A060A"/>
    <w:rsid w:val="001A08B1"/>
    <w:rsid w:val="001A0DE5"/>
    <w:rsid w:val="001A171D"/>
    <w:rsid w:val="001A1C3E"/>
    <w:rsid w:val="001A24B4"/>
    <w:rsid w:val="001A2B2E"/>
    <w:rsid w:val="001A35AF"/>
    <w:rsid w:val="001A36F1"/>
    <w:rsid w:val="001A3763"/>
    <w:rsid w:val="001A3A1C"/>
    <w:rsid w:val="001A3D2B"/>
    <w:rsid w:val="001A402B"/>
    <w:rsid w:val="001A4713"/>
    <w:rsid w:val="001A4891"/>
    <w:rsid w:val="001A4D54"/>
    <w:rsid w:val="001A501F"/>
    <w:rsid w:val="001A55E5"/>
    <w:rsid w:val="001A67EA"/>
    <w:rsid w:val="001A67F8"/>
    <w:rsid w:val="001A6A93"/>
    <w:rsid w:val="001A6DFA"/>
    <w:rsid w:val="001A754F"/>
    <w:rsid w:val="001A7794"/>
    <w:rsid w:val="001A7948"/>
    <w:rsid w:val="001A7B4D"/>
    <w:rsid w:val="001A7C23"/>
    <w:rsid w:val="001B0106"/>
    <w:rsid w:val="001B010C"/>
    <w:rsid w:val="001B04F9"/>
    <w:rsid w:val="001B0CED"/>
    <w:rsid w:val="001B1124"/>
    <w:rsid w:val="001B1297"/>
    <w:rsid w:val="001B1C6C"/>
    <w:rsid w:val="001B2084"/>
    <w:rsid w:val="001B216F"/>
    <w:rsid w:val="001B21E5"/>
    <w:rsid w:val="001B2A2E"/>
    <w:rsid w:val="001B30E9"/>
    <w:rsid w:val="001B3155"/>
    <w:rsid w:val="001B4464"/>
    <w:rsid w:val="001B47F3"/>
    <w:rsid w:val="001B490B"/>
    <w:rsid w:val="001B4F62"/>
    <w:rsid w:val="001B5289"/>
    <w:rsid w:val="001B55D0"/>
    <w:rsid w:val="001B5749"/>
    <w:rsid w:val="001B616C"/>
    <w:rsid w:val="001B69A6"/>
    <w:rsid w:val="001B6A02"/>
    <w:rsid w:val="001B6AE0"/>
    <w:rsid w:val="001B7917"/>
    <w:rsid w:val="001B7E41"/>
    <w:rsid w:val="001C110F"/>
    <w:rsid w:val="001C14E0"/>
    <w:rsid w:val="001C178F"/>
    <w:rsid w:val="001C1E7B"/>
    <w:rsid w:val="001C2447"/>
    <w:rsid w:val="001C259F"/>
    <w:rsid w:val="001C4543"/>
    <w:rsid w:val="001C4849"/>
    <w:rsid w:val="001C4EE7"/>
    <w:rsid w:val="001C5984"/>
    <w:rsid w:val="001C5C82"/>
    <w:rsid w:val="001C61A1"/>
    <w:rsid w:val="001C6215"/>
    <w:rsid w:val="001C6479"/>
    <w:rsid w:val="001C6BBF"/>
    <w:rsid w:val="001C6D67"/>
    <w:rsid w:val="001C6DB9"/>
    <w:rsid w:val="001C7A43"/>
    <w:rsid w:val="001D0481"/>
    <w:rsid w:val="001D0E75"/>
    <w:rsid w:val="001D115E"/>
    <w:rsid w:val="001D1E71"/>
    <w:rsid w:val="001D24F1"/>
    <w:rsid w:val="001D30CC"/>
    <w:rsid w:val="001D32ED"/>
    <w:rsid w:val="001D3A01"/>
    <w:rsid w:val="001D40D5"/>
    <w:rsid w:val="001D40F6"/>
    <w:rsid w:val="001D433E"/>
    <w:rsid w:val="001D45A9"/>
    <w:rsid w:val="001D5034"/>
    <w:rsid w:val="001D5E31"/>
    <w:rsid w:val="001D5E85"/>
    <w:rsid w:val="001D5EEF"/>
    <w:rsid w:val="001D66F8"/>
    <w:rsid w:val="001D6D5D"/>
    <w:rsid w:val="001D6D80"/>
    <w:rsid w:val="001D705B"/>
    <w:rsid w:val="001D71F9"/>
    <w:rsid w:val="001D766D"/>
    <w:rsid w:val="001D7823"/>
    <w:rsid w:val="001E005C"/>
    <w:rsid w:val="001E038B"/>
    <w:rsid w:val="001E0694"/>
    <w:rsid w:val="001E09E2"/>
    <w:rsid w:val="001E0BF7"/>
    <w:rsid w:val="001E1B9A"/>
    <w:rsid w:val="001E1F7D"/>
    <w:rsid w:val="001E274C"/>
    <w:rsid w:val="001E274F"/>
    <w:rsid w:val="001E2BFC"/>
    <w:rsid w:val="001E2D67"/>
    <w:rsid w:val="001E3756"/>
    <w:rsid w:val="001E3A6B"/>
    <w:rsid w:val="001E3BEE"/>
    <w:rsid w:val="001E3F44"/>
    <w:rsid w:val="001E4015"/>
    <w:rsid w:val="001E44A6"/>
    <w:rsid w:val="001E4643"/>
    <w:rsid w:val="001E4769"/>
    <w:rsid w:val="001E4D69"/>
    <w:rsid w:val="001E5076"/>
    <w:rsid w:val="001E51AB"/>
    <w:rsid w:val="001E521A"/>
    <w:rsid w:val="001E53B5"/>
    <w:rsid w:val="001E56F8"/>
    <w:rsid w:val="001E5952"/>
    <w:rsid w:val="001E5D99"/>
    <w:rsid w:val="001E650E"/>
    <w:rsid w:val="001E7807"/>
    <w:rsid w:val="001F073B"/>
    <w:rsid w:val="001F16C6"/>
    <w:rsid w:val="001F1C37"/>
    <w:rsid w:val="001F204E"/>
    <w:rsid w:val="001F2208"/>
    <w:rsid w:val="001F2BC4"/>
    <w:rsid w:val="001F2F92"/>
    <w:rsid w:val="001F3682"/>
    <w:rsid w:val="001F3BD7"/>
    <w:rsid w:val="001F40D4"/>
    <w:rsid w:val="001F42C4"/>
    <w:rsid w:val="001F43B8"/>
    <w:rsid w:val="001F47C8"/>
    <w:rsid w:val="001F4F03"/>
    <w:rsid w:val="001F541A"/>
    <w:rsid w:val="001F5CA7"/>
    <w:rsid w:val="001F5CD6"/>
    <w:rsid w:val="001F6197"/>
    <w:rsid w:val="001F6B25"/>
    <w:rsid w:val="001F706D"/>
    <w:rsid w:val="001F70AB"/>
    <w:rsid w:val="001F75E5"/>
    <w:rsid w:val="001F7B37"/>
    <w:rsid w:val="00200363"/>
    <w:rsid w:val="00200579"/>
    <w:rsid w:val="002005CD"/>
    <w:rsid w:val="00200E31"/>
    <w:rsid w:val="00200EFE"/>
    <w:rsid w:val="00201403"/>
    <w:rsid w:val="00201BF5"/>
    <w:rsid w:val="0020209E"/>
    <w:rsid w:val="002020B6"/>
    <w:rsid w:val="002023B9"/>
    <w:rsid w:val="0020243D"/>
    <w:rsid w:val="00203954"/>
    <w:rsid w:val="00203AE2"/>
    <w:rsid w:val="00203DCE"/>
    <w:rsid w:val="00204B43"/>
    <w:rsid w:val="002051AE"/>
    <w:rsid w:val="0020529F"/>
    <w:rsid w:val="0020559D"/>
    <w:rsid w:val="00205EB6"/>
    <w:rsid w:val="00206828"/>
    <w:rsid w:val="002069A8"/>
    <w:rsid w:val="00206E69"/>
    <w:rsid w:val="002070C8"/>
    <w:rsid w:val="002073B1"/>
    <w:rsid w:val="002073D5"/>
    <w:rsid w:val="0020740D"/>
    <w:rsid w:val="002076D0"/>
    <w:rsid w:val="00207C3A"/>
    <w:rsid w:val="00207D67"/>
    <w:rsid w:val="002100CC"/>
    <w:rsid w:val="00210FD7"/>
    <w:rsid w:val="002113AB"/>
    <w:rsid w:val="002118AC"/>
    <w:rsid w:val="0021197C"/>
    <w:rsid w:val="00212A5A"/>
    <w:rsid w:val="00212BA3"/>
    <w:rsid w:val="00212BFC"/>
    <w:rsid w:val="00212E25"/>
    <w:rsid w:val="0021361A"/>
    <w:rsid w:val="00213867"/>
    <w:rsid w:val="00214170"/>
    <w:rsid w:val="00214419"/>
    <w:rsid w:val="002144CA"/>
    <w:rsid w:val="00214579"/>
    <w:rsid w:val="00214BDE"/>
    <w:rsid w:val="0021512D"/>
    <w:rsid w:val="00215151"/>
    <w:rsid w:val="00215228"/>
    <w:rsid w:val="0021533D"/>
    <w:rsid w:val="00215597"/>
    <w:rsid w:val="00215B48"/>
    <w:rsid w:val="00215D8D"/>
    <w:rsid w:val="00217CE7"/>
    <w:rsid w:val="0021C5EE"/>
    <w:rsid w:val="002200F1"/>
    <w:rsid w:val="00220829"/>
    <w:rsid w:val="0022132E"/>
    <w:rsid w:val="00221918"/>
    <w:rsid w:val="00221B32"/>
    <w:rsid w:val="00221C9B"/>
    <w:rsid w:val="00221DDF"/>
    <w:rsid w:val="002221CA"/>
    <w:rsid w:val="00222736"/>
    <w:rsid w:val="00222913"/>
    <w:rsid w:val="00222C3B"/>
    <w:rsid w:val="00223220"/>
    <w:rsid w:val="00223AB9"/>
    <w:rsid w:val="0022428A"/>
    <w:rsid w:val="002242AD"/>
    <w:rsid w:val="00225330"/>
    <w:rsid w:val="00225424"/>
    <w:rsid w:val="002256DB"/>
    <w:rsid w:val="002271B9"/>
    <w:rsid w:val="002273F4"/>
    <w:rsid w:val="002300AE"/>
    <w:rsid w:val="0023020F"/>
    <w:rsid w:val="00230CC5"/>
    <w:rsid w:val="00230ED5"/>
    <w:rsid w:val="00231729"/>
    <w:rsid w:val="0023197E"/>
    <w:rsid w:val="00231C86"/>
    <w:rsid w:val="00231FC3"/>
    <w:rsid w:val="002320E1"/>
    <w:rsid w:val="0023212F"/>
    <w:rsid w:val="00232348"/>
    <w:rsid w:val="00232359"/>
    <w:rsid w:val="002329BF"/>
    <w:rsid w:val="00232BD1"/>
    <w:rsid w:val="00232D72"/>
    <w:rsid w:val="00232E5A"/>
    <w:rsid w:val="00233264"/>
    <w:rsid w:val="0023344C"/>
    <w:rsid w:val="00233782"/>
    <w:rsid w:val="00233D49"/>
    <w:rsid w:val="002340CE"/>
    <w:rsid w:val="002345EF"/>
    <w:rsid w:val="0023494B"/>
    <w:rsid w:val="00235061"/>
    <w:rsid w:val="002350B6"/>
    <w:rsid w:val="00235212"/>
    <w:rsid w:val="002357DF"/>
    <w:rsid w:val="00235D43"/>
    <w:rsid w:val="00236154"/>
    <w:rsid w:val="00236A01"/>
    <w:rsid w:val="00237040"/>
    <w:rsid w:val="00237053"/>
    <w:rsid w:val="00237351"/>
    <w:rsid w:val="002374A2"/>
    <w:rsid w:val="00237589"/>
    <w:rsid w:val="00237C7B"/>
    <w:rsid w:val="002405C2"/>
    <w:rsid w:val="0024069E"/>
    <w:rsid w:val="00240EB9"/>
    <w:rsid w:val="0024102D"/>
    <w:rsid w:val="002413DB"/>
    <w:rsid w:val="002415D0"/>
    <w:rsid w:val="00241A3E"/>
    <w:rsid w:val="00242701"/>
    <w:rsid w:val="00243C1C"/>
    <w:rsid w:val="00244158"/>
    <w:rsid w:val="00245117"/>
    <w:rsid w:val="00245298"/>
    <w:rsid w:val="00245687"/>
    <w:rsid w:val="00245BCC"/>
    <w:rsid w:val="00245CD9"/>
    <w:rsid w:val="0024601E"/>
    <w:rsid w:val="00246265"/>
    <w:rsid w:val="00246718"/>
    <w:rsid w:val="002505CC"/>
    <w:rsid w:val="0025073D"/>
    <w:rsid w:val="00250F39"/>
    <w:rsid w:val="002512FA"/>
    <w:rsid w:val="00251550"/>
    <w:rsid w:val="00251889"/>
    <w:rsid w:val="00251B66"/>
    <w:rsid w:val="00252003"/>
    <w:rsid w:val="00252E7E"/>
    <w:rsid w:val="00253A43"/>
    <w:rsid w:val="00253F7B"/>
    <w:rsid w:val="002541F0"/>
    <w:rsid w:val="00254447"/>
    <w:rsid w:val="00255362"/>
    <w:rsid w:val="002553DC"/>
    <w:rsid w:val="00255591"/>
    <w:rsid w:val="002556E9"/>
    <w:rsid w:val="0025578B"/>
    <w:rsid w:val="0025622E"/>
    <w:rsid w:val="00256F28"/>
    <w:rsid w:val="002578AB"/>
    <w:rsid w:val="00257C3F"/>
    <w:rsid w:val="00257C66"/>
    <w:rsid w:val="00257E7F"/>
    <w:rsid w:val="002602E8"/>
    <w:rsid w:val="0026034A"/>
    <w:rsid w:val="0026057E"/>
    <w:rsid w:val="00261AAC"/>
    <w:rsid w:val="00261C81"/>
    <w:rsid w:val="00261E4F"/>
    <w:rsid w:val="00262F5D"/>
    <w:rsid w:val="00263355"/>
    <w:rsid w:val="0026346A"/>
    <w:rsid w:val="002637FD"/>
    <w:rsid w:val="00263D00"/>
    <w:rsid w:val="0026417C"/>
    <w:rsid w:val="00264188"/>
    <w:rsid w:val="00264BAE"/>
    <w:rsid w:val="00264D2D"/>
    <w:rsid w:val="00264EA9"/>
    <w:rsid w:val="002654DB"/>
    <w:rsid w:val="0026556F"/>
    <w:rsid w:val="00265707"/>
    <w:rsid w:val="002658D1"/>
    <w:rsid w:val="00265E56"/>
    <w:rsid w:val="00265FBC"/>
    <w:rsid w:val="0026611B"/>
    <w:rsid w:val="002667AE"/>
    <w:rsid w:val="00266DB9"/>
    <w:rsid w:val="00266E2B"/>
    <w:rsid w:val="00266E5E"/>
    <w:rsid w:val="002670B0"/>
    <w:rsid w:val="00270537"/>
    <w:rsid w:val="0027058B"/>
    <w:rsid w:val="0027063B"/>
    <w:rsid w:val="002706FE"/>
    <w:rsid w:val="00270EF1"/>
    <w:rsid w:val="0027158B"/>
    <w:rsid w:val="00271CD1"/>
    <w:rsid w:val="00272A9B"/>
    <w:rsid w:val="00272B6A"/>
    <w:rsid w:val="00273721"/>
    <w:rsid w:val="002738A1"/>
    <w:rsid w:val="00273DC5"/>
    <w:rsid w:val="00273EF3"/>
    <w:rsid w:val="002742D3"/>
    <w:rsid w:val="00274437"/>
    <w:rsid w:val="002748E8"/>
    <w:rsid w:val="00274B4B"/>
    <w:rsid w:val="002752A6"/>
    <w:rsid w:val="00276BD8"/>
    <w:rsid w:val="00276F77"/>
    <w:rsid w:val="00277024"/>
    <w:rsid w:val="00277165"/>
    <w:rsid w:val="00280586"/>
    <w:rsid w:val="00280737"/>
    <w:rsid w:val="00280A33"/>
    <w:rsid w:val="00280A5E"/>
    <w:rsid w:val="00280B53"/>
    <w:rsid w:val="00280BB8"/>
    <w:rsid w:val="00280DB0"/>
    <w:rsid w:val="00280FB1"/>
    <w:rsid w:val="00281083"/>
    <w:rsid w:val="00281B05"/>
    <w:rsid w:val="00281C61"/>
    <w:rsid w:val="00282442"/>
    <w:rsid w:val="00282699"/>
    <w:rsid w:val="002826D4"/>
    <w:rsid w:val="00283D51"/>
    <w:rsid w:val="00283F5C"/>
    <w:rsid w:val="002842C5"/>
    <w:rsid w:val="00284528"/>
    <w:rsid w:val="002846A8"/>
    <w:rsid w:val="00284A4C"/>
    <w:rsid w:val="00284CE5"/>
    <w:rsid w:val="0028664D"/>
    <w:rsid w:val="002868A3"/>
    <w:rsid w:val="00287192"/>
    <w:rsid w:val="002876A5"/>
    <w:rsid w:val="00287DC8"/>
    <w:rsid w:val="00287F06"/>
    <w:rsid w:val="002902A4"/>
    <w:rsid w:val="00290866"/>
    <w:rsid w:val="002909FD"/>
    <w:rsid w:val="00290B17"/>
    <w:rsid w:val="002915F2"/>
    <w:rsid w:val="00291B39"/>
    <w:rsid w:val="00291F32"/>
    <w:rsid w:val="00291F85"/>
    <w:rsid w:val="00291FEC"/>
    <w:rsid w:val="00292248"/>
    <w:rsid w:val="00293195"/>
    <w:rsid w:val="002938A9"/>
    <w:rsid w:val="00293E89"/>
    <w:rsid w:val="00293F97"/>
    <w:rsid w:val="0029403A"/>
    <w:rsid w:val="002942D8"/>
    <w:rsid w:val="002942EE"/>
    <w:rsid w:val="002943A5"/>
    <w:rsid w:val="002943D0"/>
    <w:rsid w:val="00295715"/>
    <w:rsid w:val="00295924"/>
    <w:rsid w:val="00295B62"/>
    <w:rsid w:val="00295B8E"/>
    <w:rsid w:val="002962AF"/>
    <w:rsid w:val="00296AAA"/>
    <w:rsid w:val="00296D3E"/>
    <w:rsid w:val="00296EE3"/>
    <w:rsid w:val="00296F7F"/>
    <w:rsid w:val="002972DA"/>
    <w:rsid w:val="00297BFA"/>
    <w:rsid w:val="00297C98"/>
    <w:rsid w:val="002A0078"/>
    <w:rsid w:val="002A0416"/>
    <w:rsid w:val="002A051A"/>
    <w:rsid w:val="002A0773"/>
    <w:rsid w:val="002A08E2"/>
    <w:rsid w:val="002A096D"/>
    <w:rsid w:val="002A11DE"/>
    <w:rsid w:val="002A16E0"/>
    <w:rsid w:val="002A1736"/>
    <w:rsid w:val="002A2105"/>
    <w:rsid w:val="002A2CE9"/>
    <w:rsid w:val="002A319A"/>
    <w:rsid w:val="002A361F"/>
    <w:rsid w:val="002A3907"/>
    <w:rsid w:val="002A45A5"/>
    <w:rsid w:val="002A4FB3"/>
    <w:rsid w:val="002A549D"/>
    <w:rsid w:val="002A57E0"/>
    <w:rsid w:val="002A5A4D"/>
    <w:rsid w:val="002A5AF4"/>
    <w:rsid w:val="002A5DB9"/>
    <w:rsid w:val="002A5DE8"/>
    <w:rsid w:val="002A6215"/>
    <w:rsid w:val="002A62E1"/>
    <w:rsid w:val="002A6461"/>
    <w:rsid w:val="002A662C"/>
    <w:rsid w:val="002A6D62"/>
    <w:rsid w:val="002A72CF"/>
    <w:rsid w:val="002A72D2"/>
    <w:rsid w:val="002A7CDF"/>
    <w:rsid w:val="002B001F"/>
    <w:rsid w:val="002B06D6"/>
    <w:rsid w:val="002B098E"/>
    <w:rsid w:val="002B11D5"/>
    <w:rsid w:val="002B13F5"/>
    <w:rsid w:val="002B1946"/>
    <w:rsid w:val="002B19B1"/>
    <w:rsid w:val="002B21FA"/>
    <w:rsid w:val="002B28B5"/>
    <w:rsid w:val="002B291C"/>
    <w:rsid w:val="002B30FF"/>
    <w:rsid w:val="002B39B3"/>
    <w:rsid w:val="002B39F4"/>
    <w:rsid w:val="002B40A0"/>
    <w:rsid w:val="002B4105"/>
    <w:rsid w:val="002B49F5"/>
    <w:rsid w:val="002B521C"/>
    <w:rsid w:val="002B52C3"/>
    <w:rsid w:val="002B56E5"/>
    <w:rsid w:val="002B5B9A"/>
    <w:rsid w:val="002B5C15"/>
    <w:rsid w:val="002B5D4F"/>
    <w:rsid w:val="002B640A"/>
    <w:rsid w:val="002B6A1F"/>
    <w:rsid w:val="002B6BFB"/>
    <w:rsid w:val="002B6D92"/>
    <w:rsid w:val="002B6DCE"/>
    <w:rsid w:val="002B7856"/>
    <w:rsid w:val="002B7E6B"/>
    <w:rsid w:val="002C050C"/>
    <w:rsid w:val="002C060C"/>
    <w:rsid w:val="002C0AC6"/>
    <w:rsid w:val="002C0AF4"/>
    <w:rsid w:val="002C0E89"/>
    <w:rsid w:val="002C1239"/>
    <w:rsid w:val="002C1439"/>
    <w:rsid w:val="002C1961"/>
    <w:rsid w:val="002C256B"/>
    <w:rsid w:val="002C2C32"/>
    <w:rsid w:val="002C38D4"/>
    <w:rsid w:val="002C3A4A"/>
    <w:rsid w:val="002C3D73"/>
    <w:rsid w:val="002C40FB"/>
    <w:rsid w:val="002C42A3"/>
    <w:rsid w:val="002C4407"/>
    <w:rsid w:val="002C49C5"/>
    <w:rsid w:val="002C4AC8"/>
    <w:rsid w:val="002C54D8"/>
    <w:rsid w:val="002C58C1"/>
    <w:rsid w:val="002C5BA3"/>
    <w:rsid w:val="002C5D38"/>
    <w:rsid w:val="002C61AF"/>
    <w:rsid w:val="002C68A3"/>
    <w:rsid w:val="002C7713"/>
    <w:rsid w:val="002C7DBE"/>
    <w:rsid w:val="002D0467"/>
    <w:rsid w:val="002D09DA"/>
    <w:rsid w:val="002D0CA4"/>
    <w:rsid w:val="002D15AF"/>
    <w:rsid w:val="002D1B54"/>
    <w:rsid w:val="002D1D0A"/>
    <w:rsid w:val="002D1D11"/>
    <w:rsid w:val="002D1D59"/>
    <w:rsid w:val="002D314B"/>
    <w:rsid w:val="002D331F"/>
    <w:rsid w:val="002D333C"/>
    <w:rsid w:val="002D346B"/>
    <w:rsid w:val="002D3660"/>
    <w:rsid w:val="002D3D5A"/>
    <w:rsid w:val="002D3DF5"/>
    <w:rsid w:val="002D3E00"/>
    <w:rsid w:val="002D4516"/>
    <w:rsid w:val="002D45C9"/>
    <w:rsid w:val="002D46EB"/>
    <w:rsid w:val="002D47A2"/>
    <w:rsid w:val="002D4812"/>
    <w:rsid w:val="002D4BB5"/>
    <w:rsid w:val="002D4EAA"/>
    <w:rsid w:val="002D5252"/>
    <w:rsid w:val="002D562E"/>
    <w:rsid w:val="002D59A0"/>
    <w:rsid w:val="002D5C90"/>
    <w:rsid w:val="002D5D0D"/>
    <w:rsid w:val="002D6F4B"/>
    <w:rsid w:val="002D70E0"/>
    <w:rsid w:val="002D7174"/>
    <w:rsid w:val="002D72BF"/>
    <w:rsid w:val="002D7645"/>
    <w:rsid w:val="002D7C80"/>
    <w:rsid w:val="002D7F1D"/>
    <w:rsid w:val="002E050E"/>
    <w:rsid w:val="002E078B"/>
    <w:rsid w:val="002E08E7"/>
    <w:rsid w:val="002E0FBB"/>
    <w:rsid w:val="002E147F"/>
    <w:rsid w:val="002E1550"/>
    <w:rsid w:val="002E1861"/>
    <w:rsid w:val="002E1915"/>
    <w:rsid w:val="002E2075"/>
    <w:rsid w:val="002E21E5"/>
    <w:rsid w:val="002E363E"/>
    <w:rsid w:val="002E3A1B"/>
    <w:rsid w:val="002E3A7D"/>
    <w:rsid w:val="002E3B8C"/>
    <w:rsid w:val="002E3C78"/>
    <w:rsid w:val="002E3FA0"/>
    <w:rsid w:val="002E4143"/>
    <w:rsid w:val="002E453B"/>
    <w:rsid w:val="002E47EE"/>
    <w:rsid w:val="002E4CAF"/>
    <w:rsid w:val="002E4FEA"/>
    <w:rsid w:val="002E54DC"/>
    <w:rsid w:val="002E556A"/>
    <w:rsid w:val="002E564A"/>
    <w:rsid w:val="002E5922"/>
    <w:rsid w:val="002E5D93"/>
    <w:rsid w:val="002E610D"/>
    <w:rsid w:val="002E6485"/>
    <w:rsid w:val="002E6B3E"/>
    <w:rsid w:val="002E6E63"/>
    <w:rsid w:val="002E73B0"/>
    <w:rsid w:val="002E7494"/>
    <w:rsid w:val="002E79CE"/>
    <w:rsid w:val="002E7B1D"/>
    <w:rsid w:val="002E7B46"/>
    <w:rsid w:val="002F01E4"/>
    <w:rsid w:val="002F0228"/>
    <w:rsid w:val="002F02B9"/>
    <w:rsid w:val="002F04A2"/>
    <w:rsid w:val="002F0588"/>
    <w:rsid w:val="002F0610"/>
    <w:rsid w:val="002F0A6C"/>
    <w:rsid w:val="002F0B30"/>
    <w:rsid w:val="002F1325"/>
    <w:rsid w:val="002F1569"/>
    <w:rsid w:val="002F1F64"/>
    <w:rsid w:val="002F1FDA"/>
    <w:rsid w:val="002F27ED"/>
    <w:rsid w:val="002F299A"/>
    <w:rsid w:val="002F2A6C"/>
    <w:rsid w:val="002F2D2F"/>
    <w:rsid w:val="002F37F2"/>
    <w:rsid w:val="002F4166"/>
    <w:rsid w:val="002F4665"/>
    <w:rsid w:val="002F4F03"/>
    <w:rsid w:val="002F50C5"/>
    <w:rsid w:val="002F5F43"/>
    <w:rsid w:val="002F5F5E"/>
    <w:rsid w:val="002F60D6"/>
    <w:rsid w:val="002F6584"/>
    <w:rsid w:val="002F6D5B"/>
    <w:rsid w:val="002F7425"/>
    <w:rsid w:val="002F7605"/>
    <w:rsid w:val="003006B3"/>
    <w:rsid w:val="0030097B"/>
    <w:rsid w:val="00300A0A"/>
    <w:rsid w:val="00300A32"/>
    <w:rsid w:val="00301064"/>
    <w:rsid w:val="0030159B"/>
    <w:rsid w:val="003015AC"/>
    <w:rsid w:val="003017CE"/>
    <w:rsid w:val="0030201A"/>
    <w:rsid w:val="003039E1"/>
    <w:rsid w:val="0030406E"/>
    <w:rsid w:val="003041BC"/>
    <w:rsid w:val="003043FF"/>
    <w:rsid w:val="00304612"/>
    <w:rsid w:val="0030471B"/>
    <w:rsid w:val="00304D9E"/>
    <w:rsid w:val="003052BF"/>
    <w:rsid w:val="003053B4"/>
    <w:rsid w:val="00305724"/>
    <w:rsid w:val="00305D3B"/>
    <w:rsid w:val="00305D63"/>
    <w:rsid w:val="0030601A"/>
    <w:rsid w:val="003063BF"/>
    <w:rsid w:val="003064A1"/>
    <w:rsid w:val="00306861"/>
    <w:rsid w:val="00306CFE"/>
    <w:rsid w:val="00306DE4"/>
    <w:rsid w:val="0030700D"/>
    <w:rsid w:val="00307149"/>
    <w:rsid w:val="0030725C"/>
    <w:rsid w:val="00307D35"/>
    <w:rsid w:val="00310162"/>
    <w:rsid w:val="00310B95"/>
    <w:rsid w:val="00310CC7"/>
    <w:rsid w:val="00310E26"/>
    <w:rsid w:val="00311000"/>
    <w:rsid w:val="0031141E"/>
    <w:rsid w:val="00311CC5"/>
    <w:rsid w:val="00311F8E"/>
    <w:rsid w:val="003123ED"/>
    <w:rsid w:val="0031259A"/>
    <w:rsid w:val="0031264A"/>
    <w:rsid w:val="0031267D"/>
    <w:rsid w:val="00312BA4"/>
    <w:rsid w:val="00312F03"/>
    <w:rsid w:val="00312F44"/>
    <w:rsid w:val="00312FD2"/>
    <w:rsid w:val="00313E7A"/>
    <w:rsid w:val="003143FC"/>
    <w:rsid w:val="0031485A"/>
    <w:rsid w:val="00314896"/>
    <w:rsid w:val="00314A40"/>
    <w:rsid w:val="00314C86"/>
    <w:rsid w:val="003158C4"/>
    <w:rsid w:val="00315A59"/>
    <w:rsid w:val="00315EAA"/>
    <w:rsid w:val="0031633B"/>
    <w:rsid w:val="003173E7"/>
    <w:rsid w:val="003174DB"/>
    <w:rsid w:val="00317516"/>
    <w:rsid w:val="00320607"/>
    <w:rsid w:val="003209F5"/>
    <w:rsid w:val="003216BE"/>
    <w:rsid w:val="0032182E"/>
    <w:rsid w:val="00321CE7"/>
    <w:rsid w:val="00321F94"/>
    <w:rsid w:val="0032211E"/>
    <w:rsid w:val="003232D4"/>
    <w:rsid w:val="00323307"/>
    <w:rsid w:val="0032370E"/>
    <w:rsid w:val="003239F7"/>
    <w:rsid w:val="00323C61"/>
    <w:rsid w:val="00323F63"/>
    <w:rsid w:val="003242DE"/>
    <w:rsid w:val="00324C6A"/>
    <w:rsid w:val="00324F0F"/>
    <w:rsid w:val="00324F17"/>
    <w:rsid w:val="00324F77"/>
    <w:rsid w:val="003253B0"/>
    <w:rsid w:val="003257BE"/>
    <w:rsid w:val="00326055"/>
    <w:rsid w:val="003262F5"/>
    <w:rsid w:val="003267D5"/>
    <w:rsid w:val="00326C54"/>
    <w:rsid w:val="00326D88"/>
    <w:rsid w:val="00327372"/>
    <w:rsid w:val="003277C5"/>
    <w:rsid w:val="0032795D"/>
    <w:rsid w:val="00327977"/>
    <w:rsid w:val="00327BBB"/>
    <w:rsid w:val="00330041"/>
    <w:rsid w:val="0033087B"/>
    <w:rsid w:val="003309D9"/>
    <w:rsid w:val="00330BEE"/>
    <w:rsid w:val="00330E7B"/>
    <w:rsid w:val="0033105E"/>
    <w:rsid w:val="00331113"/>
    <w:rsid w:val="00331A3D"/>
    <w:rsid w:val="00331FC1"/>
    <w:rsid w:val="00332403"/>
    <w:rsid w:val="00332E92"/>
    <w:rsid w:val="0033331E"/>
    <w:rsid w:val="00333698"/>
    <w:rsid w:val="003337A4"/>
    <w:rsid w:val="003337BC"/>
    <w:rsid w:val="003339C9"/>
    <w:rsid w:val="00334242"/>
    <w:rsid w:val="00334335"/>
    <w:rsid w:val="00334644"/>
    <w:rsid w:val="00334909"/>
    <w:rsid w:val="00334B97"/>
    <w:rsid w:val="00334E45"/>
    <w:rsid w:val="00335449"/>
    <w:rsid w:val="00335B2B"/>
    <w:rsid w:val="00336DC3"/>
    <w:rsid w:val="00337097"/>
    <w:rsid w:val="00337679"/>
    <w:rsid w:val="00337CF5"/>
    <w:rsid w:val="003404A0"/>
    <w:rsid w:val="00340568"/>
    <w:rsid w:val="00340BF5"/>
    <w:rsid w:val="00341718"/>
    <w:rsid w:val="003426EF"/>
    <w:rsid w:val="0034408B"/>
    <w:rsid w:val="003441D7"/>
    <w:rsid w:val="0034461C"/>
    <w:rsid w:val="00344C30"/>
    <w:rsid w:val="003451ED"/>
    <w:rsid w:val="0034534D"/>
    <w:rsid w:val="00345618"/>
    <w:rsid w:val="00345747"/>
    <w:rsid w:val="00345B8C"/>
    <w:rsid w:val="00345CA8"/>
    <w:rsid w:val="00345CCC"/>
    <w:rsid w:val="00345D88"/>
    <w:rsid w:val="0034604A"/>
    <w:rsid w:val="00346254"/>
    <w:rsid w:val="0034676B"/>
    <w:rsid w:val="0034684B"/>
    <w:rsid w:val="00346C00"/>
    <w:rsid w:val="00346F1D"/>
    <w:rsid w:val="0034771A"/>
    <w:rsid w:val="00347782"/>
    <w:rsid w:val="00350465"/>
    <w:rsid w:val="00350745"/>
    <w:rsid w:val="00350E21"/>
    <w:rsid w:val="00351608"/>
    <w:rsid w:val="003518F5"/>
    <w:rsid w:val="00351E73"/>
    <w:rsid w:val="00351EFA"/>
    <w:rsid w:val="003521AA"/>
    <w:rsid w:val="00352214"/>
    <w:rsid w:val="00352A95"/>
    <w:rsid w:val="003532C6"/>
    <w:rsid w:val="003535FD"/>
    <w:rsid w:val="003536A3"/>
    <w:rsid w:val="003536CA"/>
    <w:rsid w:val="00353D9D"/>
    <w:rsid w:val="00353F48"/>
    <w:rsid w:val="00354070"/>
    <w:rsid w:val="0035489D"/>
    <w:rsid w:val="00354B61"/>
    <w:rsid w:val="00354C47"/>
    <w:rsid w:val="0035514D"/>
    <w:rsid w:val="00355977"/>
    <w:rsid w:val="00355AF2"/>
    <w:rsid w:val="00355BEC"/>
    <w:rsid w:val="00355DB4"/>
    <w:rsid w:val="00355FA8"/>
    <w:rsid w:val="00356167"/>
    <w:rsid w:val="00356388"/>
    <w:rsid w:val="00356B9C"/>
    <w:rsid w:val="00357034"/>
    <w:rsid w:val="00357161"/>
    <w:rsid w:val="00357486"/>
    <w:rsid w:val="00357ED9"/>
    <w:rsid w:val="0036058B"/>
    <w:rsid w:val="00360772"/>
    <w:rsid w:val="00361541"/>
    <w:rsid w:val="003615E1"/>
    <w:rsid w:val="00362073"/>
    <w:rsid w:val="003620C3"/>
    <w:rsid w:val="00363007"/>
    <w:rsid w:val="0036325A"/>
    <w:rsid w:val="0036354E"/>
    <w:rsid w:val="003642BC"/>
    <w:rsid w:val="0036459C"/>
    <w:rsid w:val="0036479B"/>
    <w:rsid w:val="00364850"/>
    <w:rsid w:val="003649E1"/>
    <w:rsid w:val="003651E4"/>
    <w:rsid w:val="003660A7"/>
    <w:rsid w:val="003669BD"/>
    <w:rsid w:val="00366BF0"/>
    <w:rsid w:val="00366D87"/>
    <w:rsid w:val="003677ED"/>
    <w:rsid w:val="0036797E"/>
    <w:rsid w:val="0037097A"/>
    <w:rsid w:val="00370F32"/>
    <w:rsid w:val="00371074"/>
    <w:rsid w:val="00371495"/>
    <w:rsid w:val="0037154B"/>
    <w:rsid w:val="003716AE"/>
    <w:rsid w:val="003721D1"/>
    <w:rsid w:val="0037274C"/>
    <w:rsid w:val="00373509"/>
    <w:rsid w:val="00374548"/>
    <w:rsid w:val="00374A74"/>
    <w:rsid w:val="00374B96"/>
    <w:rsid w:val="00374BA9"/>
    <w:rsid w:val="00374F5D"/>
    <w:rsid w:val="0037512B"/>
    <w:rsid w:val="0037518D"/>
    <w:rsid w:val="003757BF"/>
    <w:rsid w:val="00375A4F"/>
    <w:rsid w:val="00376305"/>
    <w:rsid w:val="00376784"/>
    <w:rsid w:val="003767CC"/>
    <w:rsid w:val="00376CAA"/>
    <w:rsid w:val="003771D7"/>
    <w:rsid w:val="00377374"/>
    <w:rsid w:val="0037782F"/>
    <w:rsid w:val="00377E70"/>
    <w:rsid w:val="0038130E"/>
    <w:rsid w:val="0038288A"/>
    <w:rsid w:val="00382D3F"/>
    <w:rsid w:val="00382E2C"/>
    <w:rsid w:val="00383002"/>
    <w:rsid w:val="003837C1"/>
    <w:rsid w:val="003837D4"/>
    <w:rsid w:val="00383A6E"/>
    <w:rsid w:val="00384303"/>
    <w:rsid w:val="003844E4"/>
    <w:rsid w:val="00384931"/>
    <w:rsid w:val="00384981"/>
    <w:rsid w:val="00384DBC"/>
    <w:rsid w:val="003851D2"/>
    <w:rsid w:val="0038530E"/>
    <w:rsid w:val="00385889"/>
    <w:rsid w:val="00385B3B"/>
    <w:rsid w:val="00385ECB"/>
    <w:rsid w:val="00386108"/>
    <w:rsid w:val="0038631C"/>
    <w:rsid w:val="0038698C"/>
    <w:rsid w:val="00386F18"/>
    <w:rsid w:val="0038765E"/>
    <w:rsid w:val="00387774"/>
    <w:rsid w:val="00387C46"/>
    <w:rsid w:val="00387EF4"/>
    <w:rsid w:val="003901E7"/>
    <w:rsid w:val="00390316"/>
    <w:rsid w:val="00390F51"/>
    <w:rsid w:val="00390FCF"/>
    <w:rsid w:val="003915A4"/>
    <w:rsid w:val="00391648"/>
    <w:rsid w:val="00391922"/>
    <w:rsid w:val="00391E07"/>
    <w:rsid w:val="00392229"/>
    <w:rsid w:val="00392433"/>
    <w:rsid w:val="003924F7"/>
    <w:rsid w:val="003928A2"/>
    <w:rsid w:val="00392BD4"/>
    <w:rsid w:val="003933BD"/>
    <w:rsid w:val="003935BA"/>
    <w:rsid w:val="00393A07"/>
    <w:rsid w:val="00393D63"/>
    <w:rsid w:val="00394209"/>
    <w:rsid w:val="003949CA"/>
    <w:rsid w:val="00394C7E"/>
    <w:rsid w:val="003950A4"/>
    <w:rsid w:val="0039546D"/>
    <w:rsid w:val="0039553A"/>
    <w:rsid w:val="00395E4B"/>
    <w:rsid w:val="00395EFE"/>
    <w:rsid w:val="00395FEA"/>
    <w:rsid w:val="00396532"/>
    <w:rsid w:val="0039700C"/>
    <w:rsid w:val="00397674"/>
    <w:rsid w:val="00397855"/>
    <w:rsid w:val="00397A25"/>
    <w:rsid w:val="003A00A4"/>
    <w:rsid w:val="003A01FB"/>
    <w:rsid w:val="003A036A"/>
    <w:rsid w:val="003A0964"/>
    <w:rsid w:val="003A1494"/>
    <w:rsid w:val="003A165B"/>
    <w:rsid w:val="003A184C"/>
    <w:rsid w:val="003A18A7"/>
    <w:rsid w:val="003A19AB"/>
    <w:rsid w:val="003A1D66"/>
    <w:rsid w:val="003A1FC5"/>
    <w:rsid w:val="003A2074"/>
    <w:rsid w:val="003A218D"/>
    <w:rsid w:val="003A24B3"/>
    <w:rsid w:val="003A26B0"/>
    <w:rsid w:val="003A291F"/>
    <w:rsid w:val="003A2BAB"/>
    <w:rsid w:val="003A2BF9"/>
    <w:rsid w:val="003A30D8"/>
    <w:rsid w:val="003A3AFF"/>
    <w:rsid w:val="003A3D21"/>
    <w:rsid w:val="003A4886"/>
    <w:rsid w:val="003A5B2D"/>
    <w:rsid w:val="003A5FF8"/>
    <w:rsid w:val="003A6A56"/>
    <w:rsid w:val="003A6BB0"/>
    <w:rsid w:val="003A6C42"/>
    <w:rsid w:val="003A6EEB"/>
    <w:rsid w:val="003A7482"/>
    <w:rsid w:val="003A79C1"/>
    <w:rsid w:val="003A7CE1"/>
    <w:rsid w:val="003A7DE3"/>
    <w:rsid w:val="003B077A"/>
    <w:rsid w:val="003B0BD4"/>
    <w:rsid w:val="003B2572"/>
    <w:rsid w:val="003B2BF5"/>
    <w:rsid w:val="003B45BA"/>
    <w:rsid w:val="003B483B"/>
    <w:rsid w:val="003B4B5F"/>
    <w:rsid w:val="003B568D"/>
    <w:rsid w:val="003B6006"/>
    <w:rsid w:val="003B6034"/>
    <w:rsid w:val="003B61D6"/>
    <w:rsid w:val="003B66BB"/>
    <w:rsid w:val="003B672E"/>
    <w:rsid w:val="003B6BFB"/>
    <w:rsid w:val="003B6C3B"/>
    <w:rsid w:val="003B73CF"/>
    <w:rsid w:val="003B73F3"/>
    <w:rsid w:val="003B7CA3"/>
    <w:rsid w:val="003C005E"/>
    <w:rsid w:val="003C0200"/>
    <w:rsid w:val="003C02EB"/>
    <w:rsid w:val="003C07E5"/>
    <w:rsid w:val="003C0D0A"/>
    <w:rsid w:val="003C10A2"/>
    <w:rsid w:val="003C1222"/>
    <w:rsid w:val="003C1507"/>
    <w:rsid w:val="003C151C"/>
    <w:rsid w:val="003C1CD4"/>
    <w:rsid w:val="003C2D5A"/>
    <w:rsid w:val="003C3233"/>
    <w:rsid w:val="003C3627"/>
    <w:rsid w:val="003C3764"/>
    <w:rsid w:val="003C3A1C"/>
    <w:rsid w:val="003C3C1E"/>
    <w:rsid w:val="003C4107"/>
    <w:rsid w:val="003C4AA1"/>
    <w:rsid w:val="003C55F0"/>
    <w:rsid w:val="003C577F"/>
    <w:rsid w:val="003C63B3"/>
    <w:rsid w:val="003C63C0"/>
    <w:rsid w:val="003C6F88"/>
    <w:rsid w:val="003C7365"/>
    <w:rsid w:val="003C77FA"/>
    <w:rsid w:val="003C7994"/>
    <w:rsid w:val="003D0133"/>
    <w:rsid w:val="003D0976"/>
    <w:rsid w:val="003D0A3B"/>
    <w:rsid w:val="003D0B11"/>
    <w:rsid w:val="003D1019"/>
    <w:rsid w:val="003D11D3"/>
    <w:rsid w:val="003D138D"/>
    <w:rsid w:val="003D1A6D"/>
    <w:rsid w:val="003D2800"/>
    <w:rsid w:val="003D292E"/>
    <w:rsid w:val="003D3798"/>
    <w:rsid w:val="003D37D4"/>
    <w:rsid w:val="003D3ACA"/>
    <w:rsid w:val="003D4061"/>
    <w:rsid w:val="003D444A"/>
    <w:rsid w:val="003D49AF"/>
    <w:rsid w:val="003D4B15"/>
    <w:rsid w:val="003D4C6C"/>
    <w:rsid w:val="003D4FD6"/>
    <w:rsid w:val="003D6331"/>
    <w:rsid w:val="003D6650"/>
    <w:rsid w:val="003D69C3"/>
    <w:rsid w:val="003D6B10"/>
    <w:rsid w:val="003D6CEA"/>
    <w:rsid w:val="003D6FDD"/>
    <w:rsid w:val="003D7476"/>
    <w:rsid w:val="003D79E9"/>
    <w:rsid w:val="003D7A09"/>
    <w:rsid w:val="003E1303"/>
    <w:rsid w:val="003E1325"/>
    <w:rsid w:val="003E137D"/>
    <w:rsid w:val="003E190C"/>
    <w:rsid w:val="003E2233"/>
    <w:rsid w:val="003E2362"/>
    <w:rsid w:val="003E263D"/>
    <w:rsid w:val="003E2EA4"/>
    <w:rsid w:val="003E3181"/>
    <w:rsid w:val="003E31F4"/>
    <w:rsid w:val="003E335B"/>
    <w:rsid w:val="003E39E7"/>
    <w:rsid w:val="003E3A4D"/>
    <w:rsid w:val="003E3B9B"/>
    <w:rsid w:val="003E3B9D"/>
    <w:rsid w:val="003E4644"/>
    <w:rsid w:val="003E48FE"/>
    <w:rsid w:val="003E5884"/>
    <w:rsid w:val="003E59DF"/>
    <w:rsid w:val="003E5A5A"/>
    <w:rsid w:val="003E5CDA"/>
    <w:rsid w:val="003E6178"/>
    <w:rsid w:val="003E656F"/>
    <w:rsid w:val="003E6804"/>
    <w:rsid w:val="003E6AE6"/>
    <w:rsid w:val="003E6C89"/>
    <w:rsid w:val="003E6E34"/>
    <w:rsid w:val="003E71AD"/>
    <w:rsid w:val="003E776B"/>
    <w:rsid w:val="003E7A1D"/>
    <w:rsid w:val="003F0654"/>
    <w:rsid w:val="003F0F15"/>
    <w:rsid w:val="003F0F7A"/>
    <w:rsid w:val="003F12B1"/>
    <w:rsid w:val="003F1492"/>
    <w:rsid w:val="003F1A99"/>
    <w:rsid w:val="003F1F4D"/>
    <w:rsid w:val="003F207D"/>
    <w:rsid w:val="003F2D15"/>
    <w:rsid w:val="003F3328"/>
    <w:rsid w:val="003F359A"/>
    <w:rsid w:val="003F3666"/>
    <w:rsid w:val="003F3BAC"/>
    <w:rsid w:val="003F4099"/>
    <w:rsid w:val="003F5836"/>
    <w:rsid w:val="003F5B57"/>
    <w:rsid w:val="003F66DE"/>
    <w:rsid w:val="003F6A6D"/>
    <w:rsid w:val="003F6FBE"/>
    <w:rsid w:val="003F71C2"/>
    <w:rsid w:val="003F72EB"/>
    <w:rsid w:val="003F7305"/>
    <w:rsid w:val="003F7340"/>
    <w:rsid w:val="003F750B"/>
    <w:rsid w:val="003F7559"/>
    <w:rsid w:val="003F79C0"/>
    <w:rsid w:val="003F7A12"/>
    <w:rsid w:val="004000C1"/>
    <w:rsid w:val="004000DE"/>
    <w:rsid w:val="004001BC"/>
    <w:rsid w:val="00400DE0"/>
    <w:rsid w:val="00401ACD"/>
    <w:rsid w:val="0040218D"/>
    <w:rsid w:val="004029F3"/>
    <w:rsid w:val="00403158"/>
    <w:rsid w:val="004031BE"/>
    <w:rsid w:val="0040373F"/>
    <w:rsid w:val="00403F3A"/>
    <w:rsid w:val="00404316"/>
    <w:rsid w:val="00404321"/>
    <w:rsid w:val="004047D6"/>
    <w:rsid w:val="00404FE6"/>
    <w:rsid w:val="0040575F"/>
    <w:rsid w:val="0040584F"/>
    <w:rsid w:val="004059DB"/>
    <w:rsid w:val="00405C5E"/>
    <w:rsid w:val="00406244"/>
    <w:rsid w:val="0040638C"/>
    <w:rsid w:val="00406988"/>
    <w:rsid w:val="00406E09"/>
    <w:rsid w:val="00406E3F"/>
    <w:rsid w:val="0040711F"/>
    <w:rsid w:val="004074A9"/>
    <w:rsid w:val="004079B4"/>
    <w:rsid w:val="0041011F"/>
    <w:rsid w:val="004104DC"/>
    <w:rsid w:val="00410A15"/>
    <w:rsid w:val="00410F2D"/>
    <w:rsid w:val="0041106B"/>
    <w:rsid w:val="004114B7"/>
    <w:rsid w:val="00411ACC"/>
    <w:rsid w:val="00411D6E"/>
    <w:rsid w:val="00411DB6"/>
    <w:rsid w:val="00412067"/>
    <w:rsid w:val="0041243B"/>
    <w:rsid w:val="004124B1"/>
    <w:rsid w:val="00412802"/>
    <w:rsid w:val="00412882"/>
    <w:rsid w:val="004129D8"/>
    <w:rsid w:val="00412DE0"/>
    <w:rsid w:val="004134BE"/>
    <w:rsid w:val="00413525"/>
    <w:rsid w:val="0041352F"/>
    <w:rsid w:val="0041358D"/>
    <w:rsid w:val="004141C5"/>
    <w:rsid w:val="00414469"/>
    <w:rsid w:val="004146C7"/>
    <w:rsid w:val="00414867"/>
    <w:rsid w:val="004148E2"/>
    <w:rsid w:val="00414F39"/>
    <w:rsid w:val="004154ED"/>
    <w:rsid w:val="00415B58"/>
    <w:rsid w:val="00415F90"/>
    <w:rsid w:val="004165A3"/>
    <w:rsid w:val="004166BF"/>
    <w:rsid w:val="00416938"/>
    <w:rsid w:val="004171ED"/>
    <w:rsid w:val="00417746"/>
    <w:rsid w:val="00420274"/>
    <w:rsid w:val="004202D2"/>
    <w:rsid w:val="00420350"/>
    <w:rsid w:val="00421BAE"/>
    <w:rsid w:val="00421BB9"/>
    <w:rsid w:val="00421BE6"/>
    <w:rsid w:val="00421D82"/>
    <w:rsid w:val="0042263B"/>
    <w:rsid w:val="00422C0D"/>
    <w:rsid w:val="00423085"/>
    <w:rsid w:val="00423519"/>
    <w:rsid w:val="00423842"/>
    <w:rsid w:val="0042389E"/>
    <w:rsid w:val="00423BD3"/>
    <w:rsid w:val="0042405E"/>
    <w:rsid w:val="004243A6"/>
    <w:rsid w:val="00424C25"/>
    <w:rsid w:val="00424CFF"/>
    <w:rsid w:val="00424E6B"/>
    <w:rsid w:val="0042575A"/>
    <w:rsid w:val="004259C3"/>
    <w:rsid w:val="00425CF2"/>
    <w:rsid w:val="00425D4B"/>
    <w:rsid w:val="00426992"/>
    <w:rsid w:val="00426B65"/>
    <w:rsid w:val="00426C6A"/>
    <w:rsid w:val="00426C7A"/>
    <w:rsid w:val="004273DC"/>
    <w:rsid w:val="00427733"/>
    <w:rsid w:val="00427807"/>
    <w:rsid w:val="00430AB6"/>
    <w:rsid w:val="00430CBE"/>
    <w:rsid w:val="00431B27"/>
    <w:rsid w:val="00432082"/>
    <w:rsid w:val="00432280"/>
    <w:rsid w:val="00432285"/>
    <w:rsid w:val="00432BA3"/>
    <w:rsid w:val="0043370D"/>
    <w:rsid w:val="00433D76"/>
    <w:rsid w:val="00433F2A"/>
    <w:rsid w:val="00434154"/>
    <w:rsid w:val="00434F87"/>
    <w:rsid w:val="00435222"/>
    <w:rsid w:val="00435956"/>
    <w:rsid w:val="00435E65"/>
    <w:rsid w:val="004364A4"/>
    <w:rsid w:val="004365A3"/>
    <w:rsid w:val="0043766A"/>
    <w:rsid w:val="004376CD"/>
    <w:rsid w:val="00437A56"/>
    <w:rsid w:val="00440ABB"/>
    <w:rsid w:val="00440CEB"/>
    <w:rsid w:val="0044103E"/>
    <w:rsid w:val="00441341"/>
    <w:rsid w:val="00441825"/>
    <w:rsid w:val="00441CE4"/>
    <w:rsid w:val="004426B6"/>
    <w:rsid w:val="00443250"/>
    <w:rsid w:val="00443462"/>
    <w:rsid w:val="00443691"/>
    <w:rsid w:val="00443A4B"/>
    <w:rsid w:val="00443C98"/>
    <w:rsid w:val="00444256"/>
    <w:rsid w:val="00444B79"/>
    <w:rsid w:val="00445164"/>
    <w:rsid w:val="00445669"/>
    <w:rsid w:val="004456EE"/>
    <w:rsid w:val="00445A1B"/>
    <w:rsid w:val="00445B4D"/>
    <w:rsid w:val="00445C7C"/>
    <w:rsid w:val="00445D43"/>
    <w:rsid w:val="0044664D"/>
    <w:rsid w:val="00446B74"/>
    <w:rsid w:val="00446F02"/>
    <w:rsid w:val="00447454"/>
    <w:rsid w:val="0044754B"/>
    <w:rsid w:val="004477CD"/>
    <w:rsid w:val="00447889"/>
    <w:rsid w:val="00447DB2"/>
    <w:rsid w:val="00447E37"/>
    <w:rsid w:val="0045050B"/>
    <w:rsid w:val="00450CDE"/>
    <w:rsid w:val="00450D93"/>
    <w:rsid w:val="0045129C"/>
    <w:rsid w:val="0045200C"/>
    <w:rsid w:val="00452D00"/>
    <w:rsid w:val="00452DB3"/>
    <w:rsid w:val="0045333C"/>
    <w:rsid w:val="004536A8"/>
    <w:rsid w:val="004538D0"/>
    <w:rsid w:val="00453B80"/>
    <w:rsid w:val="00453E33"/>
    <w:rsid w:val="004540CA"/>
    <w:rsid w:val="004542FF"/>
    <w:rsid w:val="00454379"/>
    <w:rsid w:val="004543E9"/>
    <w:rsid w:val="00454C0A"/>
    <w:rsid w:val="00454D52"/>
    <w:rsid w:val="00454FDA"/>
    <w:rsid w:val="00455165"/>
    <w:rsid w:val="00455189"/>
    <w:rsid w:val="004559E0"/>
    <w:rsid w:val="00455B54"/>
    <w:rsid w:val="00455CE3"/>
    <w:rsid w:val="00455DF5"/>
    <w:rsid w:val="00455E37"/>
    <w:rsid w:val="00456508"/>
    <w:rsid w:val="004568C0"/>
    <w:rsid w:val="00456C7D"/>
    <w:rsid w:val="00456E39"/>
    <w:rsid w:val="00457291"/>
    <w:rsid w:val="004575F1"/>
    <w:rsid w:val="00460184"/>
    <w:rsid w:val="00460B96"/>
    <w:rsid w:val="00460BC3"/>
    <w:rsid w:val="00461566"/>
    <w:rsid w:val="0046165E"/>
    <w:rsid w:val="0046172F"/>
    <w:rsid w:val="00461C2E"/>
    <w:rsid w:val="00461EEA"/>
    <w:rsid w:val="00462744"/>
    <w:rsid w:val="00462973"/>
    <w:rsid w:val="00463133"/>
    <w:rsid w:val="004641D5"/>
    <w:rsid w:val="004645D8"/>
    <w:rsid w:val="00464639"/>
    <w:rsid w:val="00464753"/>
    <w:rsid w:val="00464AB0"/>
    <w:rsid w:val="00465D3E"/>
    <w:rsid w:val="00465FDD"/>
    <w:rsid w:val="0046651E"/>
    <w:rsid w:val="00466979"/>
    <w:rsid w:val="00466B52"/>
    <w:rsid w:val="00466C17"/>
    <w:rsid w:val="004673C3"/>
    <w:rsid w:val="00467627"/>
    <w:rsid w:val="00467922"/>
    <w:rsid w:val="00467D23"/>
    <w:rsid w:val="00470013"/>
    <w:rsid w:val="0047068A"/>
    <w:rsid w:val="00470A91"/>
    <w:rsid w:val="00470D01"/>
    <w:rsid w:val="00470D23"/>
    <w:rsid w:val="00470EDE"/>
    <w:rsid w:val="00471B89"/>
    <w:rsid w:val="004723A3"/>
    <w:rsid w:val="0047252B"/>
    <w:rsid w:val="004725E0"/>
    <w:rsid w:val="004726F6"/>
    <w:rsid w:val="00472CB4"/>
    <w:rsid w:val="00472F77"/>
    <w:rsid w:val="00473FDB"/>
    <w:rsid w:val="004744BD"/>
    <w:rsid w:val="00474713"/>
    <w:rsid w:val="00474DB6"/>
    <w:rsid w:val="0047505A"/>
    <w:rsid w:val="00475EB6"/>
    <w:rsid w:val="004764A7"/>
    <w:rsid w:val="004771F9"/>
    <w:rsid w:val="00477B98"/>
    <w:rsid w:val="00477FB0"/>
    <w:rsid w:val="004803E7"/>
    <w:rsid w:val="00480596"/>
    <w:rsid w:val="00480AB6"/>
    <w:rsid w:val="00480B00"/>
    <w:rsid w:val="004813F9"/>
    <w:rsid w:val="00481782"/>
    <w:rsid w:val="00481C47"/>
    <w:rsid w:val="004822C6"/>
    <w:rsid w:val="004824CB"/>
    <w:rsid w:val="004827A5"/>
    <w:rsid w:val="00482DE0"/>
    <w:rsid w:val="004838EE"/>
    <w:rsid w:val="0048393A"/>
    <w:rsid w:val="00483EDF"/>
    <w:rsid w:val="00483FD9"/>
    <w:rsid w:val="00484D4F"/>
    <w:rsid w:val="00484D91"/>
    <w:rsid w:val="00484DAE"/>
    <w:rsid w:val="00485A95"/>
    <w:rsid w:val="00485C0F"/>
    <w:rsid w:val="00486014"/>
    <w:rsid w:val="004860FD"/>
    <w:rsid w:val="004861ED"/>
    <w:rsid w:val="0048634B"/>
    <w:rsid w:val="00486810"/>
    <w:rsid w:val="004869E3"/>
    <w:rsid w:val="00486A9E"/>
    <w:rsid w:val="00486AC3"/>
    <w:rsid w:val="00486CB8"/>
    <w:rsid w:val="00486EA6"/>
    <w:rsid w:val="004877FE"/>
    <w:rsid w:val="00487869"/>
    <w:rsid w:val="00487E06"/>
    <w:rsid w:val="00487F04"/>
    <w:rsid w:val="004903C6"/>
    <w:rsid w:val="00490EF8"/>
    <w:rsid w:val="00491001"/>
    <w:rsid w:val="004911B6"/>
    <w:rsid w:val="00491790"/>
    <w:rsid w:val="00492281"/>
    <w:rsid w:val="004923F6"/>
    <w:rsid w:val="00492753"/>
    <w:rsid w:val="004927ED"/>
    <w:rsid w:val="0049281B"/>
    <w:rsid w:val="00492FB3"/>
    <w:rsid w:val="00493162"/>
    <w:rsid w:val="0049316E"/>
    <w:rsid w:val="00493270"/>
    <w:rsid w:val="00493A3C"/>
    <w:rsid w:val="00493AB9"/>
    <w:rsid w:val="004941D1"/>
    <w:rsid w:val="004941D7"/>
    <w:rsid w:val="00494215"/>
    <w:rsid w:val="00494302"/>
    <w:rsid w:val="00494966"/>
    <w:rsid w:val="00494F84"/>
    <w:rsid w:val="0049506F"/>
    <w:rsid w:val="004953DC"/>
    <w:rsid w:val="0049554F"/>
    <w:rsid w:val="0049581F"/>
    <w:rsid w:val="00495847"/>
    <w:rsid w:val="004958C3"/>
    <w:rsid w:val="0049609A"/>
    <w:rsid w:val="0049629E"/>
    <w:rsid w:val="004964A6"/>
    <w:rsid w:val="004965D5"/>
    <w:rsid w:val="004966A8"/>
    <w:rsid w:val="004966EC"/>
    <w:rsid w:val="00496F7E"/>
    <w:rsid w:val="00497537"/>
    <w:rsid w:val="00497A2C"/>
    <w:rsid w:val="00497BCD"/>
    <w:rsid w:val="00497BE9"/>
    <w:rsid w:val="00497CF0"/>
    <w:rsid w:val="004A023A"/>
    <w:rsid w:val="004A05A9"/>
    <w:rsid w:val="004A06ED"/>
    <w:rsid w:val="004A0C3B"/>
    <w:rsid w:val="004A1432"/>
    <w:rsid w:val="004A146B"/>
    <w:rsid w:val="004A1687"/>
    <w:rsid w:val="004A1891"/>
    <w:rsid w:val="004A1B5B"/>
    <w:rsid w:val="004A1DFB"/>
    <w:rsid w:val="004A252D"/>
    <w:rsid w:val="004A3A22"/>
    <w:rsid w:val="004A3B10"/>
    <w:rsid w:val="004A3B5B"/>
    <w:rsid w:val="004A40C3"/>
    <w:rsid w:val="004A43D3"/>
    <w:rsid w:val="004A4856"/>
    <w:rsid w:val="004A4939"/>
    <w:rsid w:val="004A4C0A"/>
    <w:rsid w:val="004A4D8F"/>
    <w:rsid w:val="004A4DCB"/>
    <w:rsid w:val="004A5388"/>
    <w:rsid w:val="004A54ED"/>
    <w:rsid w:val="004A5775"/>
    <w:rsid w:val="004A58CF"/>
    <w:rsid w:val="004A5A50"/>
    <w:rsid w:val="004A5BEE"/>
    <w:rsid w:val="004A657E"/>
    <w:rsid w:val="004A6794"/>
    <w:rsid w:val="004A6C5E"/>
    <w:rsid w:val="004A7897"/>
    <w:rsid w:val="004A7BE8"/>
    <w:rsid w:val="004A7F41"/>
    <w:rsid w:val="004B0382"/>
    <w:rsid w:val="004B0409"/>
    <w:rsid w:val="004B081A"/>
    <w:rsid w:val="004B0F7C"/>
    <w:rsid w:val="004B27D8"/>
    <w:rsid w:val="004B2F51"/>
    <w:rsid w:val="004B38B0"/>
    <w:rsid w:val="004B3A48"/>
    <w:rsid w:val="004B409F"/>
    <w:rsid w:val="004B4222"/>
    <w:rsid w:val="004B4501"/>
    <w:rsid w:val="004B49E4"/>
    <w:rsid w:val="004B4C29"/>
    <w:rsid w:val="004B4CBC"/>
    <w:rsid w:val="004B4D9B"/>
    <w:rsid w:val="004B4E9C"/>
    <w:rsid w:val="004B5D4C"/>
    <w:rsid w:val="004B6210"/>
    <w:rsid w:val="004B6934"/>
    <w:rsid w:val="004B69C2"/>
    <w:rsid w:val="004B6C5C"/>
    <w:rsid w:val="004B7110"/>
    <w:rsid w:val="004B7DCE"/>
    <w:rsid w:val="004B7E66"/>
    <w:rsid w:val="004C0AD3"/>
    <w:rsid w:val="004C0CAC"/>
    <w:rsid w:val="004C10D6"/>
    <w:rsid w:val="004C1273"/>
    <w:rsid w:val="004C182F"/>
    <w:rsid w:val="004C1E72"/>
    <w:rsid w:val="004C211B"/>
    <w:rsid w:val="004C2DD8"/>
    <w:rsid w:val="004C3098"/>
    <w:rsid w:val="004C3524"/>
    <w:rsid w:val="004C3706"/>
    <w:rsid w:val="004C4630"/>
    <w:rsid w:val="004C4BB2"/>
    <w:rsid w:val="004C51B3"/>
    <w:rsid w:val="004C5328"/>
    <w:rsid w:val="004C54DF"/>
    <w:rsid w:val="004C567A"/>
    <w:rsid w:val="004C5D68"/>
    <w:rsid w:val="004C6051"/>
    <w:rsid w:val="004C6CE1"/>
    <w:rsid w:val="004C6DA4"/>
    <w:rsid w:val="004C706A"/>
    <w:rsid w:val="004C77A1"/>
    <w:rsid w:val="004C7E23"/>
    <w:rsid w:val="004D053D"/>
    <w:rsid w:val="004D05BA"/>
    <w:rsid w:val="004D117D"/>
    <w:rsid w:val="004D13F8"/>
    <w:rsid w:val="004D19D5"/>
    <w:rsid w:val="004D225E"/>
    <w:rsid w:val="004D25A6"/>
    <w:rsid w:val="004D25C2"/>
    <w:rsid w:val="004D290B"/>
    <w:rsid w:val="004D348E"/>
    <w:rsid w:val="004D3813"/>
    <w:rsid w:val="004D3978"/>
    <w:rsid w:val="004D3A74"/>
    <w:rsid w:val="004D465E"/>
    <w:rsid w:val="004D49C2"/>
    <w:rsid w:val="004D49EB"/>
    <w:rsid w:val="004D4BBA"/>
    <w:rsid w:val="004D4E22"/>
    <w:rsid w:val="004D4FD7"/>
    <w:rsid w:val="004D528D"/>
    <w:rsid w:val="004D556A"/>
    <w:rsid w:val="004D579D"/>
    <w:rsid w:val="004D5E39"/>
    <w:rsid w:val="004D61CA"/>
    <w:rsid w:val="004D6795"/>
    <w:rsid w:val="004D68A1"/>
    <w:rsid w:val="004D6F31"/>
    <w:rsid w:val="004D71F8"/>
    <w:rsid w:val="004D73F7"/>
    <w:rsid w:val="004D7BE5"/>
    <w:rsid w:val="004D7ED2"/>
    <w:rsid w:val="004E0838"/>
    <w:rsid w:val="004E0962"/>
    <w:rsid w:val="004E09F0"/>
    <w:rsid w:val="004E0F3E"/>
    <w:rsid w:val="004E0F59"/>
    <w:rsid w:val="004E1148"/>
    <w:rsid w:val="004E133F"/>
    <w:rsid w:val="004E1BEF"/>
    <w:rsid w:val="004E2484"/>
    <w:rsid w:val="004E2638"/>
    <w:rsid w:val="004E27FE"/>
    <w:rsid w:val="004E2ACE"/>
    <w:rsid w:val="004E3882"/>
    <w:rsid w:val="004E3B43"/>
    <w:rsid w:val="004E3BFA"/>
    <w:rsid w:val="004E3FD5"/>
    <w:rsid w:val="004E4AB6"/>
    <w:rsid w:val="004E4D97"/>
    <w:rsid w:val="004E5610"/>
    <w:rsid w:val="004E5B33"/>
    <w:rsid w:val="004E5D46"/>
    <w:rsid w:val="004E61BE"/>
    <w:rsid w:val="004E6744"/>
    <w:rsid w:val="004E6D27"/>
    <w:rsid w:val="004E6D78"/>
    <w:rsid w:val="004E74C6"/>
    <w:rsid w:val="004E7791"/>
    <w:rsid w:val="004E7833"/>
    <w:rsid w:val="004E7D64"/>
    <w:rsid w:val="004E7EBA"/>
    <w:rsid w:val="004F0187"/>
    <w:rsid w:val="004F03AE"/>
    <w:rsid w:val="004F06ED"/>
    <w:rsid w:val="004F0822"/>
    <w:rsid w:val="004F0BEF"/>
    <w:rsid w:val="004F0F44"/>
    <w:rsid w:val="004F1383"/>
    <w:rsid w:val="004F159C"/>
    <w:rsid w:val="004F15FB"/>
    <w:rsid w:val="004F1A61"/>
    <w:rsid w:val="004F1F7E"/>
    <w:rsid w:val="004F2625"/>
    <w:rsid w:val="004F2B2D"/>
    <w:rsid w:val="004F2F0A"/>
    <w:rsid w:val="004F3A80"/>
    <w:rsid w:val="004F475F"/>
    <w:rsid w:val="004F4781"/>
    <w:rsid w:val="004F47DB"/>
    <w:rsid w:val="004F4844"/>
    <w:rsid w:val="004F4B07"/>
    <w:rsid w:val="004F4C1C"/>
    <w:rsid w:val="004F4D53"/>
    <w:rsid w:val="004F59B4"/>
    <w:rsid w:val="004F5E1B"/>
    <w:rsid w:val="004F5E1E"/>
    <w:rsid w:val="004F5FB8"/>
    <w:rsid w:val="004F621A"/>
    <w:rsid w:val="004F6658"/>
    <w:rsid w:val="004F6CB8"/>
    <w:rsid w:val="004F72BE"/>
    <w:rsid w:val="004F745C"/>
    <w:rsid w:val="004F7A05"/>
    <w:rsid w:val="004F7EC2"/>
    <w:rsid w:val="004F7EED"/>
    <w:rsid w:val="004F7FC8"/>
    <w:rsid w:val="00500667"/>
    <w:rsid w:val="0050077F"/>
    <w:rsid w:val="00500C8C"/>
    <w:rsid w:val="00501145"/>
    <w:rsid w:val="00501281"/>
    <w:rsid w:val="00501431"/>
    <w:rsid w:val="0050269E"/>
    <w:rsid w:val="00502931"/>
    <w:rsid w:val="00503231"/>
    <w:rsid w:val="00503E83"/>
    <w:rsid w:val="00504682"/>
    <w:rsid w:val="005048F7"/>
    <w:rsid w:val="00504EE0"/>
    <w:rsid w:val="00505B50"/>
    <w:rsid w:val="00505E9B"/>
    <w:rsid w:val="00506232"/>
    <w:rsid w:val="00506468"/>
    <w:rsid w:val="00507729"/>
    <w:rsid w:val="005077D6"/>
    <w:rsid w:val="00507EC1"/>
    <w:rsid w:val="00507F86"/>
    <w:rsid w:val="00510185"/>
    <w:rsid w:val="005103C9"/>
    <w:rsid w:val="005106A9"/>
    <w:rsid w:val="00510BE8"/>
    <w:rsid w:val="00511323"/>
    <w:rsid w:val="00511CE2"/>
    <w:rsid w:val="00512776"/>
    <w:rsid w:val="00513480"/>
    <w:rsid w:val="005139F4"/>
    <w:rsid w:val="00513CEC"/>
    <w:rsid w:val="00513F47"/>
    <w:rsid w:val="0051422D"/>
    <w:rsid w:val="005148FA"/>
    <w:rsid w:val="00514A85"/>
    <w:rsid w:val="00514CCA"/>
    <w:rsid w:val="00514EB9"/>
    <w:rsid w:val="00514ECF"/>
    <w:rsid w:val="00514FB0"/>
    <w:rsid w:val="00515450"/>
    <w:rsid w:val="00515E21"/>
    <w:rsid w:val="005160F9"/>
    <w:rsid w:val="005162C7"/>
    <w:rsid w:val="00516628"/>
    <w:rsid w:val="00516C1D"/>
    <w:rsid w:val="00516DBD"/>
    <w:rsid w:val="00516E7F"/>
    <w:rsid w:val="00517822"/>
    <w:rsid w:val="00517B85"/>
    <w:rsid w:val="00517C4B"/>
    <w:rsid w:val="0052024E"/>
    <w:rsid w:val="00520F8A"/>
    <w:rsid w:val="00521365"/>
    <w:rsid w:val="005214CD"/>
    <w:rsid w:val="00521AC0"/>
    <w:rsid w:val="00522270"/>
    <w:rsid w:val="00523000"/>
    <w:rsid w:val="005232DB"/>
    <w:rsid w:val="0052429D"/>
    <w:rsid w:val="00524584"/>
    <w:rsid w:val="0052497A"/>
    <w:rsid w:val="00524BBF"/>
    <w:rsid w:val="0052532F"/>
    <w:rsid w:val="00525425"/>
    <w:rsid w:val="00525A46"/>
    <w:rsid w:val="00525B13"/>
    <w:rsid w:val="00526298"/>
    <w:rsid w:val="005262C1"/>
    <w:rsid w:val="005262E2"/>
    <w:rsid w:val="0052631C"/>
    <w:rsid w:val="00526894"/>
    <w:rsid w:val="00527002"/>
    <w:rsid w:val="005279B1"/>
    <w:rsid w:val="00530079"/>
    <w:rsid w:val="005303FB"/>
    <w:rsid w:val="00531098"/>
    <w:rsid w:val="00531861"/>
    <w:rsid w:val="00531879"/>
    <w:rsid w:val="00531B7F"/>
    <w:rsid w:val="00531D87"/>
    <w:rsid w:val="00532163"/>
    <w:rsid w:val="005322A4"/>
    <w:rsid w:val="005322E9"/>
    <w:rsid w:val="00532397"/>
    <w:rsid w:val="00532B56"/>
    <w:rsid w:val="00532C26"/>
    <w:rsid w:val="00533460"/>
    <w:rsid w:val="005342EF"/>
    <w:rsid w:val="0053446A"/>
    <w:rsid w:val="005348DA"/>
    <w:rsid w:val="00534D45"/>
    <w:rsid w:val="00534DEB"/>
    <w:rsid w:val="00534E32"/>
    <w:rsid w:val="005354FE"/>
    <w:rsid w:val="00535C1D"/>
    <w:rsid w:val="005368D5"/>
    <w:rsid w:val="0053695E"/>
    <w:rsid w:val="00536D65"/>
    <w:rsid w:val="00536EF2"/>
    <w:rsid w:val="00536FA2"/>
    <w:rsid w:val="005372CF"/>
    <w:rsid w:val="005374EE"/>
    <w:rsid w:val="005401C9"/>
    <w:rsid w:val="005403AF"/>
    <w:rsid w:val="005406D2"/>
    <w:rsid w:val="005409EC"/>
    <w:rsid w:val="00541254"/>
    <w:rsid w:val="00541A77"/>
    <w:rsid w:val="00541BEE"/>
    <w:rsid w:val="00541D36"/>
    <w:rsid w:val="00542EEB"/>
    <w:rsid w:val="0054342B"/>
    <w:rsid w:val="00543DAF"/>
    <w:rsid w:val="00543DDF"/>
    <w:rsid w:val="00544058"/>
    <w:rsid w:val="00544745"/>
    <w:rsid w:val="00544ACE"/>
    <w:rsid w:val="005451A7"/>
    <w:rsid w:val="00545851"/>
    <w:rsid w:val="00545C02"/>
    <w:rsid w:val="00546062"/>
    <w:rsid w:val="00546337"/>
    <w:rsid w:val="00546524"/>
    <w:rsid w:val="00546EF6"/>
    <w:rsid w:val="00546F4A"/>
    <w:rsid w:val="005470AE"/>
    <w:rsid w:val="0054712B"/>
    <w:rsid w:val="00547674"/>
    <w:rsid w:val="005479DE"/>
    <w:rsid w:val="00547BE7"/>
    <w:rsid w:val="00547F75"/>
    <w:rsid w:val="0055063E"/>
    <w:rsid w:val="005506DC"/>
    <w:rsid w:val="005510FF"/>
    <w:rsid w:val="005514A8"/>
    <w:rsid w:val="005517A8"/>
    <w:rsid w:val="00551A94"/>
    <w:rsid w:val="00551B44"/>
    <w:rsid w:val="00551CF4"/>
    <w:rsid w:val="00551E54"/>
    <w:rsid w:val="005521ED"/>
    <w:rsid w:val="00552960"/>
    <w:rsid w:val="00552EED"/>
    <w:rsid w:val="005537E7"/>
    <w:rsid w:val="0055399B"/>
    <w:rsid w:val="0055489F"/>
    <w:rsid w:val="00554AE5"/>
    <w:rsid w:val="005553C7"/>
    <w:rsid w:val="00555594"/>
    <w:rsid w:val="00555726"/>
    <w:rsid w:val="00555ABB"/>
    <w:rsid w:val="00555E16"/>
    <w:rsid w:val="005577D9"/>
    <w:rsid w:val="00557D72"/>
    <w:rsid w:val="00560102"/>
    <w:rsid w:val="005603A0"/>
    <w:rsid w:val="005606AA"/>
    <w:rsid w:val="00560A64"/>
    <w:rsid w:val="00560C04"/>
    <w:rsid w:val="00560C10"/>
    <w:rsid w:val="005611BF"/>
    <w:rsid w:val="0056174B"/>
    <w:rsid w:val="0056182C"/>
    <w:rsid w:val="005618FC"/>
    <w:rsid w:val="00561A40"/>
    <w:rsid w:val="00562249"/>
    <w:rsid w:val="00562332"/>
    <w:rsid w:val="005623D0"/>
    <w:rsid w:val="00562490"/>
    <w:rsid w:val="005624BE"/>
    <w:rsid w:val="005626E3"/>
    <w:rsid w:val="005627A5"/>
    <w:rsid w:val="005629FB"/>
    <w:rsid w:val="00562B8C"/>
    <w:rsid w:val="00562BE7"/>
    <w:rsid w:val="00562E65"/>
    <w:rsid w:val="00563015"/>
    <w:rsid w:val="00563D31"/>
    <w:rsid w:val="00563FDB"/>
    <w:rsid w:val="00564B17"/>
    <w:rsid w:val="00565C0B"/>
    <w:rsid w:val="005661C3"/>
    <w:rsid w:val="0056675A"/>
    <w:rsid w:val="005669E7"/>
    <w:rsid w:val="00566B22"/>
    <w:rsid w:val="0056783C"/>
    <w:rsid w:val="00567A50"/>
    <w:rsid w:val="00567AAF"/>
    <w:rsid w:val="00567D73"/>
    <w:rsid w:val="005701A1"/>
    <w:rsid w:val="00570402"/>
    <w:rsid w:val="0057041A"/>
    <w:rsid w:val="005705AE"/>
    <w:rsid w:val="00570F7F"/>
    <w:rsid w:val="00571C9B"/>
    <w:rsid w:val="00571E6E"/>
    <w:rsid w:val="0057212E"/>
    <w:rsid w:val="00572824"/>
    <w:rsid w:val="0057504B"/>
    <w:rsid w:val="00575249"/>
    <w:rsid w:val="005754A4"/>
    <w:rsid w:val="0057608E"/>
    <w:rsid w:val="00576D08"/>
    <w:rsid w:val="00577186"/>
    <w:rsid w:val="005775BB"/>
    <w:rsid w:val="0057793C"/>
    <w:rsid w:val="00580217"/>
    <w:rsid w:val="00580763"/>
    <w:rsid w:val="00580A2A"/>
    <w:rsid w:val="00580A3E"/>
    <w:rsid w:val="00580DB3"/>
    <w:rsid w:val="00581358"/>
    <w:rsid w:val="00581B74"/>
    <w:rsid w:val="005821CB"/>
    <w:rsid w:val="00583E65"/>
    <w:rsid w:val="00584468"/>
    <w:rsid w:val="00584784"/>
    <w:rsid w:val="005853E3"/>
    <w:rsid w:val="00585FE4"/>
    <w:rsid w:val="005867D8"/>
    <w:rsid w:val="00586A64"/>
    <w:rsid w:val="00587036"/>
    <w:rsid w:val="0058741D"/>
    <w:rsid w:val="00590320"/>
    <w:rsid w:val="005903CF"/>
    <w:rsid w:val="00590528"/>
    <w:rsid w:val="005905E2"/>
    <w:rsid w:val="0059089B"/>
    <w:rsid w:val="00590D61"/>
    <w:rsid w:val="00591BDA"/>
    <w:rsid w:val="00591D30"/>
    <w:rsid w:val="00591D4B"/>
    <w:rsid w:val="005923A7"/>
    <w:rsid w:val="00592865"/>
    <w:rsid w:val="00593153"/>
    <w:rsid w:val="00593750"/>
    <w:rsid w:val="0059418E"/>
    <w:rsid w:val="0059421A"/>
    <w:rsid w:val="0059470E"/>
    <w:rsid w:val="00594D05"/>
    <w:rsid w:val="00595148"/>
    <w:rsid w:val="00595489"/>
    <w:rsid w:val="005955A9"/>
    <w:rsid w:val="00596211"/>
    <w:rsid w:val="00597670"/>
    <w:rsid w:val="00597A2D"/>
    <w:rsid w:val="00597B9D"/>
    <w:rsid w:val="00597C1D"/>
    <w:rsid w:val="00597E47"/>
    <w:rsid w:val="005A0A11"/>
    <w:rsid w:val="005A0CA5"/>
    <w:rsid w:val="005A1813"/>
    <w:rsid w:val="005A189F"/>
    <w:rsid w:val="005A19EB"/>
    <w:rsid w:val="005A1DEB"/>
    <w:rsid w:val="005A241E"/>
    <w:rsid w:val="005A2854"/>
    <w:rsid w:val="005A28A4"/>
    <w:rsid w:val="005A2B56"/>
    <w:rsid w:val="005A2B97"/>
    <w:rsid w:val="005A33A5"/>
    <w:rsid w:val="005A33BF"/>
    <w:rsid w:val="005A353D"/>
    <w:rsid w:val="005A3689"/>
    <w:rsid w:val="005A3804"/>
    <w:rsid w:val="005A44CB"/>
    <w:rsid w:val="005A4EA1"/>
    <w:rsid w:val="005A5514"/>
    <w:rsid w:val="005A6512"/>
    <w:rsid w:val="005A6656"/>
    <w:rsid w:val="005A6D07"/>
    <w:rsid w:val="005A6DA2"/>
    <w:rsid w:val="005A74E8"/>
    <w:rsid w:val="005A7969"/>
    <w:rsid w:val="005A7A6A"/>
    <w:rsid w:val="005B0182"/>
    <w:rsid w:val="005B048A"/>
    <w:rsid w:val="005B07F4"/>
    <w:rsid w:val="005B0A06"/>
    <w:rsid w:val="005B0B68"/>
    <w:rsid w:val="005B0B8B"/>
    <w:rsid w:val="005B0DD0"/>
    <w:rsid w:val="005B1054"/>
    <w:rsid w:val="005B15A1"/>
    <w:rsid w:val="005B16FA"/>
    <w:rsid w:val="005B1E4F"/>
    <w:rsid w:val="005B2748"/>
    <w:rsid w:val="005B2CC0"/>
    <w:rsid w:val="005B2E8E"/>
    <w:rsid w:val="005B3029"/>
    <w:rsid w:val="005B32D1"/>
    <w:rsid w:val="005B3667"/>
    <w:rsid w:val="005B3B04"/>
    <w:rsid w:val="005B3C2E"/>
    <w:rsid w:val="005B4A4B"/>
    <w:rsid w:val="005B4E02"/>
    <w:rsid w:val="005B4FB5"/>
    <w:rsid w:val="005B5646"/>
    <w:rsid w:val="005B5BA6"/>
    <w:rsid w:val="005B5CFC"/>
    <w:rsid w:val="005B6212"/>
    <w:rsid w:val="005B62A7"/>
    <w:rsid w:val="005B7013"/>
    <w:rsid w:val="005B7C80"/>
    <w:rsid w:val="005C075E"/>
    <w:rsid w:val="005C0C17"/>
    <w:rsid w:val="005C0F01"/>
    <w:rsid w:val="005C16ED"/>
    <w:rsid w:val="005C1D2C"/>
    <w:rsid w:val="005C258F"/>
    <w:rsid w:val="005C2B1D"/>
    <w:rsid w:val="005C35FC"/>
    <w:rsid w:val="005C3AD0"/>
    <w:rsid w:val="005C3CB0"/>
    <w:rsid w:val="005C4B21"/>
    <w:rsid w:val="005C4B68"/>
    <w:rsid w:val="005C5DED"/>
    <w:rsid w:val="005C60DF"/>
    <w:rsid w:val="005C703F"/>
    <w:rsid w:val="005C72EB"/>
    <w:rsid w:val="005C7302"/>
    <w:rsid w:val="005C76C8"/>
    <w:rsid w:val="005C78E2"/>
    <w:rsid w:val="005C7BFD"/>
    <w:rsid w:val="005D0314"/>
    <w:rsid w:val="005D135B"/>
    <w:rsid w:val="005D13A1"/>
    <w:rsid w:val="005D15D6"/>
    <w:rsid w:val="005D209D"/>
    <w:rsid w:val="005D263A"/>
    <w:rsid w:val="005D2753"/>
    <w:rsid w:val="005D2F35"/>
    <w:rsid w:val="005D3352"/>
    <w:rsid w:val="005D36BC"/>
    <w:rsid w:val="005D3DAA"/>
    <w:rsid w:val="005D3E20"/>
    <w:rsid w:val="005D3EFD"/>
    <w:rsid w:val="005D41C5"/>
    <w:rsid w:val="005D5891"/>
    <w:rsid w:val="005D5BE2"/>
    <w:rsid w:val="005D5F87"/>
    <w:rsid w:val="005D633B"/>
    <w:rsid w:val="005D6487"/>
    <w:rsid w:val="005D6607"/>
    <w:rsid w:val="005D67AB"/>
    <w:rsid w:val="005D68D4"/>
    <w:rsid w:val="005D6E86"/>
    <w:rsid w:val="005D73AB"/>
    <w:rsid w:val="005D779B"/>
    <w:rsid w:val="005D77B6"/>
    <w:rsid w:val="005D79F4"/>
    <w:rsid w:val="005D7ED9"/>
    <w:rsid w:val="005E0017"/>
    <w:rsid w:val="005E01F1"/>
    <w:rsid w:val="005E021B"/>
    <w:rsid w:val="005E0580"/>
    <w:rsid w:val="005E12A2"/>
    <w:rsid w:val="005E1385"/>
    <w:rsid w:val="005E1BD4"/>
    <w:rsid w:val="005E1C01"/>
    <w:rsid w:val="005E2A08"/>
    <w:rsid w:val="005E2B5F"/>
    <w:rsid w:val="005E2CCE"/>
    <w:rsid w:val="005E2D23"/>
    <w:rsid w:val="005E2E8C"/>
    <w:rsid w:val="005E353E"/>
    <w:rsid w:val="005E37AC"/>
    <w:rsid w:val="005E42C8"/>
    <w:rsid w:val="005E4703"/>
    <w:rsid w:val="005E4E6B"/>
    <w:rsid w:val="005E5BDD"/>
    <w:rsid w:val="005E5DA0"/>
    <w:rsid w:val="005E5E6F"/>
    <w:rsid w:val="005E60A6"/>
    <w:rsid w:val="005E6303"/>
    <w:rsid w:val="005E657E"/>
    <w:rsid w:val="005E6851"/>
    <w:rsid w:val="005E6E82"/>
    <w:rsid w:val="005E761E"/>
    <w:rsid w:val="005E78BA"/>
    <w:rsid w:val="005E7C4C"/>
    <w:rsid w:val="005E7C9E"/>
    <w:rsid w:val="005E7CE9"/>
    <w:rsid w:val="005E7CF7"/>
    <w:rsid w:val="005E7D1C"/>
    <w:rsid w:val="005F010E"/>
    <w:rsid w:val="005F07BE"/>
    <w:rsid w:val="005F0875"/>
    <w:rsid w:val="005F0AA8"/>
    <w:rsid w:val="005F0F6B"/>
    <w:rsid w:val="005F15CA"/>
    <w:rsid w:val="005F15F6"/>
    <w:rsid w:val="005F1683"/>
    <w:rsid w:val="005F16F3"/>
    <w:rsid w:val="005F17DC"/>
    <w:rsid w:val="005F1835"/>
    <w:rsid w:val="005F199A"/>
    <w:rsid w:val="005F1AD9"/>
    <w:rsid w:val="005F32F3"/>
    <w:rsid w:val="005F34E9"/>
    <w:rsid w:val="005F3A59"/>
    <w:rsid w:val="005F3A65"/>
    <w:rsid w:val="005F3C1E"/>
    <w:rsid w:val="005F3DC3"/>
    <w:rsid w:val="005F4046"/>
    <w:rsid w:val="005F4994"/>
    <w:rsid w:val="005F4CC7"/>
    <w:rsid w:val="005F4E9D"/>
    <w:rsid w:val="005F5184"/>
    <w:rsid w:val="005F535F"/>
    <w:rsid w:val="005F5884"/>
    <w:rsid w:val="005F5971"/>
    <w:rsid w:val="005F5B9B"/>
    <w:rsid w:val="005F5C0A"/>
    <w:rsid w:val="005F5CD6"/>
    <w:rsid w:val="005F6318"/>
    <w:rsid w:val="005F64A9"/>
    <w:rsid w:val="005F684E"/>
    <w:rsid w:val="005F71E9"/>
    <w:rsid w:val="005F74E2"/>
    <w:rsid w:val="005F7E71"/>
    <w:rsid w:val="005F7E94"/>
    <w:rsid w:val="005F7E9E"/>
    <w:rsid w:val="006002B4"/>
    <w:rsid w:val="00600AE8"/>
    <w:rsid w:val="00601D1C"/>
    <w:rsid w:val="00602921"/>
    <w:rsid w:val="00602951"/>
    <w:rsid w:val="006029D9"/>
    <w:rsid w:val="00602F84"/>
    <w:rsid w:val="00603E88"/>
    <w:rsid w:val="0060428A"/>
    <w:rsid w:val="00604354"/>
    <w:rsid w:val="0060435B"/>
    <w:rsid w:val="006045BE"/>
    <w:rsid w:val="006047F1"/>
    <w:rsid w:val="00604963"/>
    <w:rsid w:val="00604B9B"/>
    <w:rsid w:val="00605034"/>
    <w:rsid w:val="0060543B"/>
    <w:rsid w:val="0060558E"/>
    <w:rsid w:val="006057EB"/>
    <w:rsid w:val="00606271"/>
    <w:rsid w:val="006063DE"/>
    <w:rsid w:val="00606850"/>
    <w:rsid w:val="00606ABF"/>
    <w:rsid w:val="00607718"/>
    <w:rsid w:val="0061042C"/>
    <w:rsid w:val="006104BD"/>
    <w:rsid w:val="006105FE"/>
    <w:rsid w:val="00611858"/>
    <w:rsid w:val="0061198A"/>
    <w:rsid w:val="00611A35"/>
    <w:rsid w:val="00612683"/>
    <w:rsid w:val="006129D4"/>
    <w:rsid w:val="00612D95"/>
    <w:rsid w:val="00613959"/>
    <w:rsid w:val="00613AE8"/>
    <w:rsid w:val="00613C5F"/>
    <w:rsid w:val="0061402E"/>
    <w:rsid w:val="0061412B"/>
    <w:rsid w:val="006142D9"/>
    <w:rsid w:val="00614FFA"/>
    <w:rsid w:val="00615432"/>
    <w:rsid w:val="00615BC7"/>
    <w:rsid w:val="00615F19"/>
    <w:rsid w:val="00616B16"/>
    <w:rsid w:val="00616E11"/>
    <w:rsid w:val="00616EC2"/>
    <w:rsid w:val="00617039"/>
    <w:rsid w:val="00617FAB"/>
    <w:rsid w:val="006200D1"/>
    <w:rsid w:val="006202CB"/>
    <w:rsid w:val="00620776"/>
    <w:rsid w:val="00620D10"/>
    <w:rsid w:val="00620FC0"/>
    <w:rsid w:val="0062101B"/>
    <w:rsid w:val="0062110B"/>
    <w:rsid w:val="00621333"/>
    <w:rsid w:val="00621EE9"/>
    <w:rsid w:val="00621F6E"/>
    <w:rsid w:val="00621F75"/>
    <w:rsid w:val="006222DD"/>
    <w:rsid w:val="00623CD2"/>
    <w:rsid w:val="00623FB6"/>
    <w:rsid w:val="00624159"/>
    <w:rsid w:val="00624243"/>
    <w:rsid w:val="006244FE"/>
    <w:rsid w:val="006246FD"/>
    <w:rsid w:val="00624AFD"/>
    <w:rsid w:val="00624C34"/>
    <w:rsid w:val="00624E11"/>
    <w:rsid w:val="00625024"/>
    <w:rsid w:val="006258E4"/>
    <w:rsid w:val="006259E2"/>
    <w:rsid w:val="00625B34"/>
    <w:rsid w:val="00625DC1"/>
    <w:rsid w:val="00625E12"/>
    <w:rsid w:val="006263DE"/>
    <w:rsid w:val="00626B26"/>
    <w:rsid w:val="00626E2B"/>
    <w:rsid w:val="00626F2B"/>
    <w:rsid w:val="00627D8B"/>
    <w:rsid w:val="00631709"/>
    <w:rsid w:val="00631895"/>
    <w:rsid w:val="00631C32"/>
    <w:rsid w:val="0063310C"/>
    <w:rsid w:val="00633333"/>
    <w:rsid w:val="00633FED"/>
    <w:rsid w:val="00634305"/>
    <w:rsid w:val="00635161"/>
    <w:rsid w:val="00635B11"/>
    <w:rsid w:val="00635F08"/>
    <w:rsid w:val="00636302"/>
    <w:rsid w:val="00636A1C"/>
    <w:rsid w:val="006370FD"/>
    <w:rsid w:val="00640444"/>
    <w:rsid w:val="00640461"/>
    <w:rsid w:val="00640955"/>
    <w:rsid w:val="00641371"/>
    <w:rsid w:val="006413E4"/>
    <w:rsid w:val="00641851"/>
    <w:rsid w:val="00641C72"/>
    <w:rsid w:val="00641FFE"/>
    <w:rsid w:val="006424BA"/>
    <w:rsid w:val="00642858"/>
    <w:rsid w:val="00642BF1"/>
    <w:rsid w:val="00643303"/>
    <w:rsid w:val="006436A0"/>
    <w:rsid w:val="00643CBB"/>
    <w:rsid w:val="00644066"/>
    <w:rsid w:val="006447EC"/>
    <w:rsid w:val="00645FC8"/>
    <w:rsid w:val="00646299"/>
    <w:rsid w:val="0064651E"/>
    <w:rsid w:val="006468FB"/>
    <w:rsid w:val="006474DB"/>
    <w:rsid w:val="00647808"/>
    <w:rsid w:val="00647979"/>
    <w:rsid w:val="00647B92"/>
    <w:rsid w:val="00647EAF"/>
    <w:rsid w:val="006501DA"/>
    <w:rsid w:val="00650372"/>
    <w:rsid w:val="00650879"/>
    <w:rsid w:val="00650911"/>
    <w:rsid w:val="00651502"/>
    <w:rsid w:val="00651C13"/>
    <w:rsid w:val="006528E9"/>
    <w:rsid w:val="00652CCD"/>
    <w:rsid w:val="00653018"/>
    <w:rsid w:val="006533B0"/>
    <w:rsid w:val="00653568"/>
    <w:rsid w:val="0065364C"/>
    <w:rsid w:val="00653905"/>
    <w:rsid w:val="00654558"/>
    <w:rsid w:val="0065468C"/>
    <w:rsid w:val="0065473A"/>
    <w:rsid w:val="00654758"/>
    <w:rsid w:val="00654A27"/>
    <w:rsid w:val="00655BCE"/>
    <w:rsid w:val="0065647F"/>
    <w:rsid w:val="0065648E"/>
    <w:rsid w:val="006566AC"/>
    <w:rsid w:val="00656713"/>
    <w:rsid w:val="00656AB8"/>
    <w:rsid w:val="00656FBA"/>
    <w:rsid w:val="006576CF"/>
    <w:rsid w:val="006579B5"/>
    <w:rsid w:val="0066017E"/>
    <w:rsid w:val="006608EC"/>
    <w:rsid w:val="006609F1"/>
    <w:rsid w:val="00660DB4"/>
    <w:rsid w:val="00661B59"/>
    <w:rsid w:val="00661F69"/>
    <w:rsid w:val="0066332A"/>
    <w:rsid w:val="00663829"/>
    <w:rsid w:val="006642B0"/>
    <w:rsid w:val="00664354"/>
    <w:rsid w:val="00664683"/>
    <w:rsid w:val="006646D0"/>
    <w:rsid w:val="0066480F"/>
    <w:rsid w:val="00664F2C"/>
    <w:rsid w:val="0066579C"/>
    <w:rsid w:val="0066587F"/>
    <w:rsid w:val="00666533"/>
    <w:rsid w:val="006666F5"/>
    <w:rsid w:val="00666B67"/>
    <w:rsid w:val="00667275"/>
    <w:rsid w:val="00667BE1"/>
    <w:rsid w:val="00667DBB"/>
    <w:rsid w:val="00670461"/>
    <w:rsid w:val="00670E7E"/>
    <w:rsid w:val="006711AE"/>
    <w:rsid w:val="0067143D"/>
    <w:rsid w:val="00671FFA"/>
    <w:rsid w:val="00672109"/>
    <w:rsid w:val="00672C60"/>
    <w:rsid w:val="00672C7C"/>
    <w:rsid w:val="00673158"/>
    <w:rsid w:val="0067376D"/>
    <w:rsid w:val="00673C61"/>
    <w:rsid w:val="00673E97"/>
    <w:rsid w:val="00674870"/>
    <w:rsid w:val="00675434"/>
    <w:rsid w:val="00675817"/>
    <w:rsid w:val="00675DA1"/>
    <w:rsid w:val="00676277"/>
    <w:rsid w:val="006771AD"/>
    <w:rsid w:val="006775EF"/>
    <w:rsid w:val="006779B9"/>
    <w:rsid w:val="00677CE4"/>
    <w:rsid w:val="00677D1D"/>
    <w:rsid w:val="00680122"/>
    <w:rsid w:val="00680937"/>
    <w:rsid w:val="00680DD7"/>
    <w:rsid w:val="00681E33"/>
    <w:rsid w:val="00682364"/>
    <w:rsid w:val="006834CA"/>
    <w:rsid w:val="00683509"/>
    <w:rsid w:val="00683C05"/>
    <w:rsid w:val="00683F1C"/>
    <w:rsid w:val="0068493B"/>
    <w:rsid w:val="006849A6"/>
    <w:rsid w:val="006849E1"/>
    <w:rsid w:val="00684A9D"/>
    <w:rsid w:val="00684CBF"/>
    <w:rsid w:val="00685C79"/>
    <w:rsid w:val="006863BC"/>
    <w:rsid w:val="00686434"/>
    <w:rsid w:val="006864F1"/>
    <w:rsid w:val="00686A84"/>
    <w:rsid w:val="006872CA"/>
    <w:rsid w:val="00687406"/>
    <w:rsid w:val="00687C6F"/>
    <w:rsid w:val="0069027E"/>
    <w:rsid w:val="006903B4"/>
    <w:rsid w:val="00691016"/>
    <w:rsid w:val="0069237D"/>
    <w:rsid w:val="00692881"/>
    <w:rsid w:val="00692BB1"/>
    <w:rsid w:val="0069300B"/>
    <w:rsid w:val="006933EF"/>
    <w:rsid w:val="006934EE"/>
    <w:rsid w:val="00693944"/>
    <w:rsid w:val="00693AC8"/>
    <w:rsid w:val="00693B59"/>
    <w:rsid w:val="00693CFC"/>
    <w:rsid w:val="00693D3C"/>
    <w:rsid w:val="00694064"/>
    <w:rsid w:val="00694578"/>
    <w:rsid w:val="00695959"/>
    <w:rsid w:val="00695B4A"/>
    <w:rsid w:val="00696146"/>
    <w:rsid w:val="0069687A"/>
    <w:rsid w:val="006969D8"/>
    <w:rsid w:val="006969EE"/>
    <w:rsid w:val="00696AA3"/>
    <w:rsid w:val="00697223"/>
    <w:rsid w:val="00697CB0"/>
    <w:rsid w:val="00697FE3"/>
    <w:rsid w:val="006A0408"/>
    <w:rsid w:val="006A0479"/>
    <w:rsid w:val="006A06B4"/>
    <w:rsid w:val="006A0A73"/>
    <w:rsid w:val="006A1C20"/>
    <w:rsid w:val="006A21B3"/>
    <w:rsid w:val="006A2E2C"/>
    <w:rsid w:val="006A2F2B"/>
    <w:rsid w:val="006A34E9"/>
    <w:rsid w:val="006A3A41"/>
    <w:rsid w:val="006A3DE7"/>
    <w:rsid w:val="006A4C08"/>
    <w:rsid w:val="006A5B30"/>
    <w:rsid w:val="006A6517"/>
    <w:rsid w:val="006A6792"/>
    <w:rsid w:val="006A67C8"/>
    <w:rsid w:val="006A6B2C"/>
    <w:rsid w:val="006A7296"/>
    <w:rsid w:val="006A73BF"/>
    <w:rsid w:val="006A7557"/>
    <w:rsid w:val="006A7608"/>
    <w:rsid w:val="006A7956"/>
    <w:rsid w:val="006A7F13"/>
    <w:rsid w:val="006B001C"/>
    <w:rsid w:val="006B011C"/>
    <w:rsid w:val="006B0391"/>
    <w:rsid w:val="006B059B"/>
    <w:rsid w:val="006B0766"/>
    <w:rsid w:val="006B09EE"/>
    <w:rsid w:val="006B0BB1"/>
    <w:rsid w:val="006B1A51"/>
    <w:rsid w:val="006B1EBD"/>
    <w:rsid w:val="006B3127"/>
    <w:rsid w:val="006B32C7"/>
    <w:rsid w:val="006B34B3"/>
    <w:rsid w:val="006B368E"/>
    <w:rsid w:val="006B39A9"/>
    <w:rsid w:val="006B3E07"/>
    <w:rsid w:val="006B3F8C"/>
    <w:rsid w:val="006B4217"/>
    <w:rsid w:val="006B431C"/>
    <w:rsid w:val="006B4551"/>
    <w:rsid w:val="006B479F"/>
    <w:rsid w:val="006B4875"/>
    <w:rsid w:val="006B53AC"/>
    <w:rsid w:val="006B54D6"/>
    <w:rsid w:val="006B6D63"/>
    <w:rsid w:val="006B6F6D"/>
    <w:rsid w:val="006B6FFB"/>
    <w:rsid w:val="006B72CE"/>
    <w:rsid w:val="006B76AF"/>
    <w:rsid w:val="006B77EC"/>
    <w:rsid w:val="006B7E18"/>
    <w:rsid w:val="006B7EC6"/>
    <w:rsid w:val="006C0996"/>
    <w:rsid w:val="006C09E1"/>
    <w:rsid w:val="006C0AC0"/>
    <w:rsid w:val="006C1B01"/>
    <w:rsid w:val="006C1C67"/>
    <w:rsid w:val="006C1D7D"/>
    <w:rsid w:val="006C1E86"/>
    <w:rsid w:val="006C2071"/>
    <w:rsid w:val="006C2102"/>
    <w:rsid w:val="006C298B"/>
    <w:rsid w:val="006C320D"/>
    <w:rsid w:val="006C3FA8"/>
    <w:rsid w:val="006C4E64"/>
    <w:rsid w:val="006C4F33"/>
    <w:rsid w:val="006C5618"/>
    <w:rsid w:val="006C5715"/>
    <w:rsid w:val="006C66A8"/>
    <w:rsid w:val="006C6E70"/>
    <w:rsid w:val="006C6F79"/>
    <w:rsid w:val="006C730B"/>
    <w:rsid w:val="006C7FD8"/>
    <w:rsid w:val="006D017E"/>
    <w:rsid w:val="006D01D3"/>
    <w:rsid w:val="006D01E9"/>
    <w:rsid w:val="006D03EC"/>
    <w:rsid w:val="006D05F3"/>
    <w:rsid w:val="006D09B5"/>
    <w:rsid w:val="006D14E4"/>
    <w:rsid w:val="006D2873"/>
    <w:rsid w:val="006D2E2B"/>
    <w:rsid w:val="006D4241"/>
    <w:rsid w:val="006D4313"/>
    <w:rsid w:val="006D43E0"/>
    <w:rsid w:val="006D4420"/>
    <w:rsid w:val="006D45DF"/>
    <w:rsid w:val="006D471C"/>
    <w:rsid w:val="006D480F"/>
    <w:rsid w:val="006D5609"/>
    <w:rsid w:val="006D56C0"/>
    <w:rsid w:val="006D5847"/>
    <w:rsid w:val="006D6152"/>
    <w:rsid w:val="006D63D9"/>
    <w:rsid w:val="006D6B01"/>
    <w:rsid w:val="006D75E0"/>
    <w:rsid w:val="006D7819"/>
    <w:rsid w:val="006D7A97"/>
    <w:rsid w:val="006D7C5A"/>
    <w:rsid w:val="006D7E25"/>
    <w:rsid w:val="006D7E4A"/>
    <w:rsid w:val="006E02A3"/>
    <w:rsid w:val="006E0390"/>
    <w:rsid w:val="006E046F"/>
    <w:rsid w:val="006E0573"/>
    <w:rsid w:val="006E0670"/>
    <w:rsid w:val="006E0AC0"/>
    <w:rsid w:val="006E126A"/>
    <w:rsid w:val="006E1ADC"/>
    <w:rsid w:val="006E1BEB"/>
    <w:rsid w:val="006E1C64"/>
    <w:rsid w:val="006E1EC9"/>
    <w:rsid w:val="006E214D"/>
    <w:rsid w:val="006E220A"/>
    <w:rsid w:val="006E27AC"/>
    <w:rsid w:val="006E2B42"/>
    <w:rsid w:val="006E3050"/>
    <w:rsid w:val="006E3250"/>
    <w:rsid w:val="006E379B"/>
    <w:rsid w:val="006E396F"/>
    <w:rsid w:val="006E3C9D"/>
    <w:rsid w:val="006E4173"/>
    <w:rsid w:val="006E450A"/>
    <w:rsid w:val="006E48AD"/>
    <w:rsid w:val="006E4FA1"/>
    <w:rsid w:val="006E52E3"/>
    <w:rsid w:val="006E5A05"/>
    <w:rsid w:val="006E60E5"/>
    <w:rsid w:val="006E722E"/>
    <w:rsid w:val="006E7CAC"/>
    <w:rsid w:val="006E7D1F"/>
    <w:rsid w:val="006F017E"/>
    <w:rsid w:val="006F0A3A"/>
    <w:rsid w:val="006F0BD1"/>
    <w:rsid w:val="006F1B49"/>
    <w:rsid w:val="006F2152"/>
    <w:rsid w:val="006F21B6"/>
    <w:rsid w:val="006F3FBB"/>
    <w:rsid w:val="006F41E5"/>
    <w:rsid w:val="006F4444"/>
    <w:rsid w:val="006F4A53"/>
    <w:rsid w:val="006F565F"/>
    <w:rsid w:val="006F56BE"/>
    <w:rsid w:val="006F56E8"/>
    <w:rsid w:val="006F5D19"/>
    <w:rsid w:val="006F7754"/>
    <w:rsid w:val="00700491"/>
    <w:rsid w:val="00700695"/>
    <w:rsid w:val="00700C96"/>
    <w:rsid w:val="00700FB4"/>
    <w:rsid w:val="00701189"/>
    <w:rsid w:val="007011CD"/>
    <w:rsid w:val="00702029"/>
    <w:rsid w:val="0070206E"/>
    <w:rsid w:val="0070278A"/>
    <w:rsid w:val="00702994"/>
    <w:rsid w:val="00702A8B"/>
    <w:rsid w:val="00703007"/>
    <w:rsid w:val="0070362B"/>
    <w:rsid w:val="0070379A"/>
    <w:rsid w:val="007038EA"/>
    <w:rsid w:val="00703E69"/>
    <w:rsid w:val="00704881"/>
    <w:rsid w:val="007048ED"/>
    <w:rsid w:val="00704A83"/>
    <w:rsid w:val="00704AB1"/>
    <w:rsid w:val="00704D25"/>
    <w:rsid w:val="0070537C"/>
    <w:rsid w:val="007054E2"/>
    <w:rsid w:val="00706B25"/>
    <w:rsid w:val="00706BCC"/>
    <w:rsid w:val="00706E85"/>
    <w:rsid w:val="00707872"/>
    <w:rsid w:val="00707903"/>
    <w:rsid w:val="00707CD5"/>
    <w:rsid w:val="00710195"/>
    <w:rsid w:val="007107BD"/>
    <w:rsid w:val="00710855"/>
    <w:rsid w:val="0071180B"/>
    <w:rsid w:val="00711834"/>
    <w:rsid w:val="0071184F"/>
    <w:rsid w:val="007118F1"/>
    <w:rsid w:val="00711A48"/>
    <w:rsid w:val="00711B75"/>
    <w:rsid w:val="00711C4D"/>
    <w:rsid w:val="00711FD9"/>
    <w:rsid w:val="007123E5"/>
    <w:rsid w:val="007124D5"/>
    <w:rsid w:val="00712774"/>
    <w:rsid w:val="0071293A"/>
    <w:rsid w:val="007130FF"/>
    <w:rsid w:val="007133E2"/>
    <w:rsid w:val="007142FE"/>
    <w:rsid w:val="00714B67"/>
    <w:rsid w:val="00714D70"/>
    <w:rsid w:val="00715BF9"/>
    <w:rsid w:val="007163E7"/>
    <w:rsid w:val="00716C33"/>
    <w:rsid w:val="00716EB7"/>
    <w:rsid w:val="00717089"/>
    <w:rsid w:val="007170F9"/>
    <w:rsid w:val="007173AE"/>
    <w:rsid w:val="007178DD"/>
    <w:rsid w:val="00720639"/>
    <w:rsid w:val="007206A9"/>
    <w:rsid w:val="007206E8"/>
    <w:rsid w:val="00720793"/>
    <w:rsid w:val="0072153E"/>
    <w:rsid w:val="00721636"/>
    <w:rsid w:val="007216B0"/>
    <w:rsid w:val="00721A2B"/>
    <w:rsid w:val="00721A8D"/>
    <w:rsid w:val="00721B52"/>
    <w:rsid w:val="00721F64"/>
    <w:rsid w:val="0072206E"/>
    <w:rsid w:val="00723B4A"/>
    <w:rsid w:val="00724730"/>
    <w:rsid w:val="00724CB3"/>
    <w:rsid w:val="00724DDE"/>
    <w:rsid w:val="00724F25"/>
    <w:rsid w:val="00726106"/>
    <w:rsid w:val="00726288"/>
    <w:rsid w:val="007262E6"/>
    <w:rsid w:val="00727FB0"/>
    <w:rsid w:val="00730E31"/>
    <w:rsid w:val="00730FD4"/>
    <w:rsid w:val="007312D1"/>
    <w:rsid w:val="007314BD"/>
    <w:rsid w:val="007315C0"/>
    <w:rsid w:val="007316C2"/>
    <w:rsid w:val="00731EED"/>
    <w:rsid w:val="0073249D"/>
    <w:rsid w:val="00732537"/>
    <w:rsid w:val="007329F9"/>
    <w:rsid w:val="00732D2F"/>
    <w:rsid w:val="007330C5"/>
    <w:rsid w:val="0073313B"/>
    <w:rsid w:val="007331CF"/>
    <w:rsid w:val="0073343F"/>
    <w:rsid w:val="007338FE"/>
    <w:rsid w:val="00733B73"/>
    <w:rsid w:val="00734772"/>
    <w:rsid w:val="007349EF"/>
    <w:rsid w:val="00734DE0"/>
    <w:rsid w:val="00735684"/>
    <w:rsid w:val="00735780"/>
    <w:rsid w:val="00735AF0"/>
    <w:rsid w:val="00735B8B"/>
    <w:rsid w:val="00736A00"/>
    <w:rsid w:val="00736E05"/>
    <w:rsid w:val="007377BC"/>
    <w:rsid w:val="0073790E"/>
    <w:rsid w:val="00737940"/>
    <w:rsid w:val="00737B0D"/>
    <w:rsid w:val="00740345"/>
    <w:rsid w:val="007404DE"/>
    <w:rsid w:val="00740621"/>
    <w:rsid w:val="007409BF"/>
    <w:rsid w:val="00740DF2"/>
    <w:rsid w:val="00740EC3"/>
    <w:rsid w:val="00740F3C"/>
    <w:rsid w:val="0074124B"/>
    <w:rsid w:val="00741DFB"/>
    <w:rsid w:val="00742878"/>
    <w:rsid w:val="0074298E"/>
    <w:rsid w:val="00743076"/>
    <w:rsid w:val="007431B2"/>
    <w:rsid w:val="007433E0"/>
    <w:rsid w:val="00744216"/>
    <w:rsid w:val="00744320"/>
    <w:rsid w:val="007444B5"/>
    <w:rsid w:val="00744629"/>
    <w:rsid w:val="00744AB9"/>
    <w:rsid w:val="00744F66"/>
    <w:rsid w:val="0074517C"/>
    <w:rsid w:val="007452E8"/>
    <w:rsid w:val="007453F1"/>
    <w:rsid w:val="00745CCC"/>
    <w:rsid w:val="00745DD4"/>
    <w:rsid w:val="00746872"/>
    <w:rsid w:val="00746B44"/>
    <w:rsid w:val="00746C5C"/>
    <w:rsid w:val="00747431"/>
    <w:rsid w:val="00747E0A"/>
    <w:rsid w:val="007501E9"/>
    <w:rsid w:val="00752B9F"/>
    <w:rsid w:val="00752CCB"/>
    <w:rsid w:val="00752E94"/>
    <w:rsid w:val="007533E8"/>
    <w:rsid w:val="007534C7"/>
    <w:rsid w:val="007537FF"/>
    <w:rsid w:val="007538E9"/>
    <w:rsid w:val="00753973"/>
    <w:rsid w:val="00753AD0"/>
    <w:rsid w:val="00754365"/>
    <w:rsid w:val="00754AC3"/>
    <w:rsid w:val="00755A90"/>
    <w:rsid w:val="00756108"/>
    <w:rsid w:val="007564F9"/>
    <w:rsid w:val="0075692C"/>
    <w:rsid w:val="0075713E"/>
    <w:rsid w:val="007571AE"/>
    <w:rsid w:val="00757781"/>
    <w:rsid w:val="00757B3C"/>
    <w:rsid w:val="00757C19"/>
    <w:rsid w:val="00757D71"/>
    <w:rsid w:val="007602F5"/>
    <w:rsid w:val="007605A5"/>
    <w:rsid w:val="00760E72"/>
    <w:rsid w:val="00760F18"/>
    <w:rsid w:val="00761121"/>
    <w:rsid w:val="007617D1"/>
    <w:rsid w:val="00761A03"/>
    <w:rsid w:val="00761F7F"/>
    <w:rsid w:val="007625EE"/>
    <w:rsid w:val="00762C84"/>
    <w:rsid w:val="007636BF"/>
    <w:rsid w:val="00763E9F"/>
    <w:rsid w:val="00763F0E"/>
    <w:rsid w:val="00763F8B"/>
    <w:rsid w:val="007641B7"/>
    <w:rsid w:val="0076453A"/>
    <w:rsid w:val="00764B7D"/>
    <w:rsid w:val="0076530E"/>
    <w:rsid w:val="00765B0B"/>
    <w:rsid w:val="007660B3"/>
    <w:rsid w:val="00766754"/>
    <w:rsid w:val="00766982"/>
    <w:rsid w:val="00766B0A"/>
    <w:rsid w:val="00766C0A"/>
    <w:rsid w:val="00767816"/>
    <w:rsid w:val="00767C55"/>
    <w:rsid w:val="00770EAF"/>
    <w:rsid w:val="0077179B"/>
    <w:rsid w:val="0077240E"/>
    <w:rsid w:val="00772704"/>
    <w:rsid w:val="00772B03"/>
    <w:rsid w:val="00772DF6"/>
    <w:rsid w:val="00773E97"/>
    <w:rsid w:val="00774327"/>
    <w:rsid w:val="007745D2"/>
    <w:rsid w:val="00774998"/>
    <w:rsid w:val="00774C16"/>
    <w:rsid w:val="00774CC0"/>
    <w:rsid w:val="00774D40"/>
    <w:rsid w:val="00774F74"/>
    <w:rsid w:val="00775538"/>
    <w:rsid w:val="00775955"/>
    <w:rsid w:val="00775F15"/>
    <w:rsid w:val="007760A9"/>
    <w:rsid w:val="00776A53"/>
    <w:rsid w:val="00776B4A"/>
    <w:rsid w:val="00777329"/>
    <w:rsid w:val="00780457"/>
    <w:rsid w:val="00780D81"/>
    <w:rsid w:val="007814D5"/>
    <w:rsid w:val="00781789"/>
    <w:rsid w:val="00782031"/>
    <w:rsid w:val="00782040"/>
    <w:rsid w:val="007821B6"/>
    <w:rsid w:val="00782AEC"/>
    <w:rsid w:val="00782F67"/>
    <w:rsid w:val="00783584"/>
    <w:rsid w:val="00783A33"/>
    <w:rsid w:val="00783FC1"/>
    <w:rsid w:val="00783FC4"/>
    <w:rsid w:val="007844E9"/>
    <w:rsid w:val="00784789"/>
    <w:rsid w:val="0078493D"/>
    <w:rsid w:val="00784A29"/>
    <w:rsid w:val="00784A8E"/>
    <w:rsid w:val="007853A7"/>
    <w:rsid w:val="007854DE"/>
    <w:rsid w:val="00785BE4"/>
    <w:rsid w:val="00785BEA"/>
    <w:rsid w:val="00785E20"/>
    <w:rsid w:val="00786FBF"/>
    <w:rsid w:val="007870AA"/>
    <w:rsid w:val="007872A1"/>
    <w:rsid w:val="007872D3"/>
    <w:rsid w:val="007903BB"/>
    <w:rsid w:val="00790860"/>
    <w:rsid w:val="0079100F"/>
    <w:rsid w:val="0079168D"/>
    <w:rsid w:val="00791FEB"/>
    <w:rsid w:val="00792831"/>
    <w:rsid w:val="00792A6B"/>
    <w:rsid w:val="00792C28"/>
    <w:rsid w:val="0079325A"/>
    <w:rsid w:val="0079347F"/>
    <w:rsid w:val="007934B8"/>
    <w:rsid w:val="007936E9"/>
    <w:rsid w:val="007936F2"/>
    <w:rsid w:val="00794078"/>
    <w:rsid w:val="0079413E"/>
    <w:rsid w:val="00794547"/>
    <w:rsid w:val="007947B1"/>
    <w:rsid w:val="00794AC6"/>
    <w:rsid w:val="00794CA4"/>
    <w:rsid w:val="00794F82"/>
    <w:rsid w:val="00795013"/>
    <w:rsid w:val="007951EB"/>
    <w:rsid w:val="0079650E"/>
    <w:rsid w:val="00796A26"/>
    <w:rsid w:val="00796AC9"/>
    <w:rsid w:val="00796DCC"/>
    <w:rsid w:val="00796E45"/>
    <w:rsid w:val="00797E56"/>
    <w:rsid w:val="007A0D9A"/>
    <w:rsid w:val="007A113C"/>
    <w:rsid w:val="007A17D2"/>
    <w:rsid w:val="007A327A"/>
    <w:rsid w:val="007A3998"/>
    <w:rsid w:val="007A4092"/>
    <w:rsid w:val="007A4217"/>
    <w:rsid w:val="007A42E3"/>
    <w:rsid w:val="007A4A9B"/>
    <w:rsid w:val="007A5C00"/>
    <w:rsid w:val="007A6442"/>
    <w:rsid w:val="007A6586"/>
    <w:rsid w:val="007A69FA"/>
    <w:rsid w:val="007A6E25"/>
    <w:rsid w:val="007A704F"/>
    <w:rsid w:val="007A7643"/>
    <w:rsid w:val="007A7B85"/>
    <w:rsid w:val="007B106F"/>
    <w:rsid w:val="007B153A"/>
    <w:rsid w:val="007B1559"/>
    <w:rsid w:val="007B1609"/>
    <w:rsid w:val="007B17E9"/>
    <w:rsid w:val="007B1F66"/>
    <w:rsid w:val="007B2099"/>
    <w:rsid w:val="007B2123"/>
    <w:rsid w:val="007B26CF"/>
    <w:rsid w:val="007B2816"/>
    <w:rsid w:val="007B2A0F"/>
    <w:rsid w:val="007B2C39"/>
    <w:rsid w:val="007B2CE8"/>
    <w:rsid w:val="007B31AB"/>
    <w:rsid w:val="007B3388"/>
    <w:rsid w:val="007B3D99"/>
    <w:rsid w:val="007B48F7"/>
    <w:rsid w:val="007B49C3"/>
    <w:rsid w:val="007B49D9"/>
    <w:rsid w:val="007B5086"/>
    <w:rsid w:val="007B5219"/>
    <w:rsid w:val="007B59DC"/>
    <w:rsid w:val="007B5BD5"/>
    <w:rsid w:val="007B6376"/>
    <w:rsid w:val="007B794F"/>
    <w:rsid w:val="007B7C9D"/>
    <w:rsid w:val="007B7F29"/>
    <w:rsid w:val="007C0384"/>
    <w:rsid w:val="007C0A35"/>
    <w:rsid w:val="007C1634"/>
    <w:rsid w:val="007C16F0"/>
    <w:rsid w:val="007C1DFE"/>
    <w:rsid w:val="007C269F"/>
    <w:rsid w:val="007C275C"/>
    <w:rsid w:val="007C2831"/>
    <w:rsid w:val="007C28CC"/>
    <w:rsid w:val="007C30A8"/>
    <w:rsid w:val="007C397D"/>
    <w:rsid w:val="007C472E"/>
    <w:rsid w:val="007C48F3"/>
    <w:rsid w:val="007C48FD"/>
    <w:rsid w:val="007C4DAF"/>
    <w:rsid w:val="007C4E0D"/>
    <w:rsid w:val="007C4EB6"/>
    <w:rsid w:val="007C5007"/>
    <w:rsid w:val="007C54F1"/>
    <w:rsid w:val="007C5D0C"/>
    <w:rsid w:val="007C5F1C"/>
    <w:rsid w:val="007C676E"/>
    <w:rsid w:val="007C6EA0"/>
    <w:rsid w:val="007C730E"/>
    <w:rsid w:val="007C7355"/>
    <w:rsid w:val="007C770C"/>
    <w:rsid w:val="007C7FB3"/>
    <w:rsid w:val="007D053E"/>
    <w:rsid w:val="007D05C2"/>
    <w:rsid w:val="007D0909"/>
    <w:rsid w:val="007D0B8E"/>
    <w:rsid w:val="007D11D6"/>
    <w:rsid w:val="007D1328"/>
    <w:rsid w:val="007D2121"/>
    <w:rsid w:val="007D2172"/>
    <w:rsid w:val="007D2F73"/>
    <w:rsid w:val="007D3288"/>
    <w:rsid w:val="007D345C"/>
    <w:rsid w:val="007D4406"/>
    <w:rsid w:val="007D483B"/>
    <w:rsid w:val="007D4AA7"/>
    <w:rsid w:val="007D4B6E"/>
    <w:rsid w:val="007D50A2"/>
    <w:rsid w:val="007D523B"/>
    <w:rsid w:val="007D5747"/>
    <w:rsid w:val="007D57B7"/>
    <w:rsid w:val="007D5AAE"/>
    <w:rsid w:val="007D5BF0"/>
    <w:rsid w:val="007D5CBA"/>
    <w:rsid w:val="007D63A5"/>
    <w:rsid w:val="007D669A"/>
    <w:rsid w:val="007D7638"/>
    <w:rsid w:val="007D7EC2"/>
    <w:rsid w:val="007E0067"/>
    <w:rsid w:val="007E035F"/>
    <w:rsid w:val="007E1051"/>
    <w:rsid w:val="007E10AA"/>
    <w:rsid w:val="007E124D"/>
    <w:rsid w:val="007E137E"/>
    <w:rsid w:val="007E142A"/>
    <w:rsid w:val="007E1B44"/>
    <w:rsid w:val="007E1E1B"/>
    <w:rsid w:val="007E2AE7"/>
    <w:rsid w:val="007E2EB0"/>
    <w:rsid w:val="007E2EC9"/>
    <w:rsid w:val="007E2F62"/>
    <w:rsid w:val="007E3933"/>
    <w:rsid w:val="007E3962"/>
    <w:rsid w:val="007E3D8C"/>
    <w:rsid w:val="007E417C"/>
    <w:rsid w:val="007E4475"/>
    <w:rsid w:val="007E4D70"/>
    <w:rsid w:val="007E58A3"/>
    <w:rsid w:val="007E594A"/>
    <w:rsid w:val="007E62F8"/>
    <w:rsid w:val="007E6724"/>
    <w:rsid w:val="007E6DF4"/>
    <w:rsid w:val="007E704F"/>
    <w:rsid w:val="007E70E7"/>
    <w:rsid w:val="007E7A86"/>
    <w:rsid w:val="007E7D4C"/>
    <w:rsid w:val="007E7EA3"/>
    <w:rsid w:val="007E7F63"/>
    <w:rsid w:val="007F02C4"/>
    <w:rsid w:val="007F09F6"/>
    <w:rsid w:val="007F0F35"/>
    <w:rsid w:val="007F1167"/>
    <w:rsid w:val="007F11EF"/>
    <w:rsid w:val="007F1298"/>
    <w:rsid w:val="007F16E9"/>
    <w:rsid w:val="007F1EEB"/>
    <w:rsid w:val="007F22B3"/>
    <w:rsid w:val="007F2CD3"/>
    <w:rsid w:val="007F2D54"/>
    <w:rsid w:val="007F3C3D"/>
    <w:rsid w:val="007F439D"/>
    <w:rsid w:val="007F4B98"/>
    <w:rsid w:val="007F4BA9"/>
    <w:rsid w:val="007F4C86"/>
    <w:rsid w:val="007F4E86"/>
    <w:rsid w:val="007F50B3"/>
    <w:rsid w:val="007F539D"/>
    <w:rsid w:val="007F5DE4"/>
    <w:rsid w:val="007F5FD1"/>
    <w:rsid w:val="007F60C1"/>
    <w:rsid w:val="007F671B"/>
    <w:rsid w:val="007F6A02"/>
    <w:rsid w:val="007F71EC"/>
    <w:rsid w:val="007F7742"/>
    <w:rsid w:val="007F7746"/>
    <w:rsid w:val="007F7D86"/>
    <w:rsid w:val="00800951"/>
    <w:rsid w:val="00800E2D"/>
    <w:rsid w:val="00801396"/>
    <w:rsid w:val="00801659"/>
    <w:rsid w:val="00801FFE"/>
    <w:rsid w:val="008022BE"/>
    <w:rsid w:val="008025E3"/>
    <w:rsid w:val="00802CC4"/>
    <w:rsid w:val="00802E25"/>
    <w:rsid w:val="00802E42"/>
    <w:rsid w:val="008031EA"/>
    <w:rsid w:val="00803514"/>
    <w:rsid w:val="00803E29"/>
    <w:rsid w:val="00804219"/>
    <w:rsid w:val="00804305"/>
    <w:rsid w:val="008048CC"/>
    <w:rsid w:val="00804B02"/>
    <w:rsid w:val="00805094"/>
    <w:rsid w:val="0080521F"/>
    <w:rsid w:val="008061D8"/>
    <w:rsid w:val="00806248"/>
    <w:rsid w:val="00806413"/>
    <w:rsid w:val="00806449"/>
    <w:rsid w:val="008071D6"/>
    <w:rsid w:val="0080792B"/>
    <w:rsid w:val="00807AD9"/>
    <w:rsid w:val="00810ACC"/>
    <w:rsid w:val="008113DB"/>
    <w:rsid w:val="008115D8"/>
    <w:rsid w:val="00811789"/>
    <w:rsid w:val="00811840"/>
    <w:rsid w:val="00811A2A"/>
    <w:rsid w:val="00811C20"/>
    <w:rsid w:val="00811E46"/>
    <w:rsid w:val="00811F95"/>
    <w:rsid w:val="00812225"/>
    <w:rsid w:val="008136FF"/>
    <w:rsid w:val="00813762"/>
    <w:rsid w:val="008137FA"/>
    <w:rsid w:val="00813969"/>
    <w:rsid w:val="008139DD"/>
    <w:rsid w:val="0081475C"/>
    <w:rsid w:val="00814C11"/>
    <w:rsid w:val="00814C3D"/>
    <w:rsid w:val="0081505F"/>
    <w:rsid w:val="008152BB"/>
    <w:rsid w:val="00815714"/>
    <w:rsid w:val="008159B0"/>
    <w:rsid w:val="00815A5D"/>
    <w:rsid w:val="00815CDD"/>
    <w:rsid w:val="0081600D"/>
    <w:rsid w:val="00816247"/>
    <w:rsid w:val="008162A3"/>
    <w:rsid w:val="008167B9"/>
    <w:rsid w:val="00816D67"/>
    <w:rsid w:val="008171D2"/>
    <w:rsid w:val="0081756B"/>
    <w:rsid w:val="00820107"/>
    <w:rsid w:val="0082010F"/>
    <w:rsid w:val="00821108"/>
    <w:rsid w:val="00821198"/>
    <w:rsid w:val="008217C9"/>
    <w:rsid w:val="00821D04"/>
    <w:rsid w:val="0082213E"/>
    <w:rsid w:val="0082253D"/>
    <w:rsid w:val="00822A69"/>
    <w:rsid w:val="00822EAE"/>
    <w:rsid w:val="00823974"/>
    <w:rsid w:val="008241F8"/>
    <w:rsid w:val="008242F4"/>
    <w:rsid w:val="0082535E"/>
    <w:rsid w:val="008257AE"/>
    <w:rsid w:val="008260F3"/>
    <w:rsid w:val="00826AA7"/>
    <w:rsid w:val="008278BC"/>
    <w:rsid w:val="008302D0"/>
    <w:rsid w:val="008303B5"/>
    <w:rsid w:val="0083077F"/>
    <w:rsid w:val="00830EA7"/>
    <w:rsid w:val="0083112F"/>
    <w:rsid w:val="008311A3"/>
    <w:rsid w:val="008311C9"/>
    <w:rsid w:val="00831231"/>
    <w:rsid w:val="00832E63"/>
    <w:rsid w:val="00833013"/>
    <w:rsid w:val="00833C7C"/>
    <w:rsid w:val="00834B78"/>
    <w:rsid w:val="008355ED"/>
    <w:rsid w:val="008359BF"/>
    <w:rsid w:val="00835B85"/>
    <w:rsid w:val="00835F2B"/>
    <w:rsid w:val="0083631E"/>
    <w:rsid w:val="00836B21"/>
    <w:rsid w:val="0083708C"/>
    <w:rsid w:val="00837C81"/>
    <w:rsid w:val="0084008E"/>
    <w:rsid w:val="00840BBA"/>
    <w:rsid w:val="008413B0"/>
    <w:rsid w:val="008413E3"/>
    <w:rsid w:val="0084161C"/>
    <w:rsid w:val="0084252F"/>
    <w:rsid w:val="00842F99"/>
    <w:rsid w:val="0084332D"/>
    <w:rsid w:val="0084372E"/>
    <w:rsid w:val="0084393F"/>
    <w:rsid w:val="00844151"/>
    <w:rsid w:val="0084439B"/>
    <w:rsid w:val="0084444E"/>
    <w:rsid w:val="00845731"/>
    <w:rsid w:val="00845AA4"/>
    <w:rsid w:val="00845E90"/>
    <w:rsid w:val="00845F00"/>
    <w:rsid w:val="00846A5D"/>
    <w:rsid w:val="00847398"/>
    <w:rsid w:val="00847887"/>
    <w:rsid w:val="00847E66"/>
    <w:rsid w:val="00850554"/>
    <w:rsid w:val="008510D2"/>
    <w:rsid w:val="00851666"/>
    <w:rsid w:val="00851D20"/>
    <w:rsid w:val="00852112"/>
    <w:rsid w:val="0085296F"/>
    <w:rsid w:val="00852992"/>
    <w:rsid w:val="00852AA4"/>
    <w:rsid w:val="00852E48"/>
    <w:rsid w:val="0085308C"/>
    <w:rsid w:val="00853216"/>
    <w:rsid w:val="00854454"/>
    <w:rsid w:val="00854664"/>
    <w:rsid w:val="00854DB5"/>
    <w:rsid w:val="00854E10"/>
    <w:rsid w:val="008551E4"/>
    <w:rsid w:val="00855425"/>
    <w:rsid w:val="0085552C"/>
    <w:rsid w:val="008557FE"/>
    <w:rsid w:val="00855C67"/>
    <w:rsid w:val="00855E5C"/>
    <w:rsid w:val="00855F01"/>
    <w:rsid w:val="00855F34"/>
    <w:rsid w:val="00857060"/>
    <w:rsid w:val="008573A2"/>
    <w:rsid w:val="0085794B"/>
    <w:rsid w:val="00857B2A"/>
    <w:rsid w:val="00857B51"/>
    <w:rsid w:val="0086057E"/>
    <w:rsid w:val="00860973"/>
    <w:rsid w:val="00860B4C"/>
    <w:rsid w:val="00860C24"/>
    <w:rsid w:val="00860C62"/>
    <w:rsid w:val="00861DA7"/>
    <w:rsid w:val="00861F47"/>
    <w:rsid w:val="00861F80"/>
    <w:rsid w:val="0086318A"/>
    <w:rsid w:val="00864527"/>
    <w:rsid w:val="008649FC"/>
    <w:rsid w:val="00864CC7"/>
    <w:rsid w:val="00864EBC"/>
    <w:rsid w:val="00865413"/>
    <w:rsid w:val="00865734"/>
    <w:rsid w:val="008657B1"/>
    <w:rsid w:val="008658EF"/>
    <w:rsid w:val="00865AF4"/>
    <w:rsid w:val="00866539"/>
    <w:rsid w:val="00866B28"/>
    <w:rsid w:val="008675D1"/>
    <w:rsid w:val="0086764F"/>
    <w:rsid w:val="008677C0"/>
    <w:rsid w:val="00867987"/>
    <w:rsid w:val="00867E98"/>
    <w:rsid w:val="00870426"/>
    <w:rsid w:val="00870E83"/>
    <w:rsid w:val="008715A7"/>
    <w:rsid w:val="0087161B"/>
    <w:rsid w:val="00871672"/>
    <w:rsid w:val="00871FF9"/>
    <w:rsid w:val="00872274"/>
    <w:rsid w:val="00872AC0"/>
    <w:rsid w:val="00872B3E"/>
    <w:rsid w:val="0087300E"/>
    <w:rsid w:val="00873F20"/>
    <w:rsid w:val="0087445F"/>
    <w:rsid w:val="00875003"/>
    <w:rsid w:val="0087542D"/>
    <w:rsid w:val="00875A72"/>
    <w:rsid w:val="00875C3B"/>
    <w:rsid w:val="00875CC4"/>
    <w:rsid w:val="008761CA"/>
    <w:rsid w:val="00876D52"/>
    <w:rsid w:val="00876E41"/>
    <w:rsid w:val="00877210"/>
    <w:rsid w:val="00877427"/>
    <w:rsid w:val="008776AE"/>
    <w:rsid w:val="008802FE"/>
    <w:rsid w:val="0088094F"/>
    <w:rsid w:val="00880E00"/>
    <w:rsid w:val="00880F54"/>
    <w:rsid w:val="00881C6E"/>
    <w:rsid w:val="00881E05"/>
    <w:rsid w:val="00882077"/>
    <w:rsid w:val="0088227E"/>
    <w:rsid w:val="0088263D"/>
    <w:rsid w:val="0088279E"/>
    <w:rsid w:val="00883D8A"/>
    <w:rsid w:val="00883E4B"/>
    <w:rsid w:val="00883E75"/>
    <w:rsid w:val="00884109"/>
    <w:rsid w:val="0088445A"/>
    <w:rsid w:val="00885594"/>
    <w:rsid w:val="008855CF"/>
    <w:rsid w:val="00885795"/>
    <w:rsid w:val="00885C28"/>
    <w:rsid w:val="00885D1C"/>
    <w:rsid w:val="00885E59"/>
    <w:rsid w:val="008867CB"/>
    <w:rsid w:val="00886BDC"/>
    <w:rsid w:val="00886E09"/>
    <w:rsid w:val="00887322"/>
    <w:rsid w:val="00887780"/>
    <w:rsid w:val="00887AE3"/>
    <w:rsid w:val="00887B3F"/>
    <w:rsid w:val="00887C46"/>
    <w:rsid w:val="00887E20"/>
    <w:rsid w:val="0089025F"/>
    <w:rsid w:val="00890348"/>
    <w:rsid w:val="00890381"/>
    <w:rsid w:val="008903BB"/>
    <w:rsid w:val="008905D7"/>
    <w:rsid w:val="00890B3B"/>
    <w:rsid w:val="0089175F"/>
    <w:rsid w:val="00891815"/>
    <w:rsid w:val="00892242"/>
    <w:rsid w:val="008925FB"/>
    <w:rsid w:val="00892B77"/>
    <w:rsid w:val="00892B7C"/>
    <w:rsid w:val="00892C7B"/>
    <w:rsid w:val="00892E40"/>
    <w:rsid w:val="00893F93"/>
    <w:rsid w:val="00894A85"/>
    <w:rsid w:val="00895197"/>
    <w:rsid w:val="00895E3B"/>
    <w:rsid w:val="00895F54"/>
    <w:rsid w:val="0089635C"/>
    <w:rsid w:val="0089703A"/>
    <w:rsid w:val="008A0101"/>
    <w:rsid w:val="008A03E0"/>
    <w:rsid w:val="008A065F"/>
    <w:rsid w:val="008A0890"/>
    <w:rsid w:val="008A0B80"/>
    <w:rsid w:val="008A15EF"/>
    <w:rsid w:val="008A1ADA"/>
    <w:rsid w:val="008A1FB7"/>
    <w:rsid w:val="008A2731"/>
    <w:rsid w:val="008A2836"/>
    <w:rsid w:val="008A2C89"/>
    <w:rsid w:val="008A2E20"/>
    <w:rsid w:val="008A398B"/>
    <w:rsid w:val="008A4009"/>
    <w:rsid w:val="008A4714"/>
    <w:rsid w:val="008A474E"/>
    <w:rsid w:val="008A583C"/>
    <w:rsid w:val="008A5DED"/>
    <w:rsid w:val="008A6958"/>
    <w:rsid w:val="008A6CF4"/>
    <w:rsid w:val="008A6E96"/>
    <w:rsid w:val="008A7A3E"/>
    <w:rsid w:val="008A7A88"/>
    <w:rsid w:val="008A7B65"/>
    <w:rsid w:val="008B00D6"/>
    <w:rsid w:val="008B0220"/>
    <w:rsid w:val="008B029F"/>
    <w:rsid w:val="008B0A15"/>
    <w:rsid w:val="008B0B13"/>
    <w:rsid w:val="008B0BD2"/>
    <w:rsid w:val="008B0F41"/>
    <w:rsid w:val="008B10ED"/>
    <w:rsid w:val="008B1344"/>
    <w:rsid w:val="008B19C1"/>
    <w:rsid w:val="008B1D8A"/>
    <w:rsid w:val="008B2166"/>
    <w:rsid w:val="008B23A8"/>
    <w:rsid w:val="008B246D"/>
    <w:rsid w:val="008B2510"/>
    <w:rsid w:val="008B379F"/>
    <w:rsid w:val="008B3A42"/>
    <w:rsid w:val="008B3AED"/>
    <w:rsid w:val="008B4302"/>
    <w:rsid w:val="008B4EE4"/>
    <w:rsid w:val="008B53F3"/>
    <w:rsid w:val="008B59FE"/>
    <w:rsid w:val="008B5B92"/>
    <w:rsid w:val="008B62AC"/>
    <w:rsid w:val="008B66C9"/>
    <w:rsid w:val="008B6E44"/>
    <w:rsid w:val="008C0233"/>
    <w:rsid w:val="008C064C"/>
    <w:rsid w:val="008C06A3"/>
    <w:rsid w:val="008C0825"/>
    <w:rsid w:val="008C0871"/>
    <w:rsid w:val="008C0E54"/>
    <w:rsid w:val="008C10DC"/>
    <w:rsid w:val="008C13CD"/>
    <w:rsid w:val="008C1607"/>
    <w:rsid w:val="008C178C"/>
    <w:rsid w:val="008C22C9"/>
    <w:rsid w:val="008C27FE"/>
    <w:rsid w:val="008C2843"/>
    <w:rsid w:val="008C2C34"/>
    <w:rsid w:val="008C3084"/>
    <w:rsid w:val="008C3623"/>
    <w:rsid w:val="008C3796"/>
    <w:rsid w:val="008C3BA7"/>
    <w:rsid w:val="008C3F30"/>
    <w:rsid w:val="008C4254"/>
    <w:rsid w:val="008C4922"/>
    <w:rsid w:val="008C4A03"/>
    <w:rsid w:val="008C4BD9"/>
    <w:rsid w:val="008C575E"/>
    <w:rsid w:val="008C59D2"/>
    <w:rsid w:val="008C5A0E"/>
    <w:rsid w:val="008C65F0"/>
    <w:rsid w:val="008C6F7C"/>
    <w:rsid w:val="008C7305"/>
    <w:rsid w:val="008D05B0"/>
    <w:rsid w:val="008D0D81"/>
    <w:rsid w:val="008D1492"/>
    <w:rsid w:val="008D16E0"/>
    <w:rsid w:val="008D1BBA"/>
    <w:rsid w:val="008D2873"/>
    <w:rsid w:val="008D3079"/>
    <w:rsid w:val="008D3371"/>
    <w:rsid w:val="008D3408"/>
    <w:rsid w:val="008D37FA"/>
    <w:rsid w:val="008D3D3C"/>
    <w:rsid w:val="008D3E37"/>
    <w:rsid w:val="008D418C"/>
    <w:rsid w:val="008D4C26"/>
    <w:rsid w:val="008D4D1D"/>
    <w:rsid w:val="008D4E02"/>
    <w:rsid w:val="008D58F2"/>
    <w:rsid w:val="008D5BCD"/>
    <w:rsid w:val="008D68B6"/>
    <w:rsid w:val="008D6CCD"/>
    <w:rsid w:val="008D7157"/>
    <w:rsid w:val="008D71C0"/>
    <w:rsid w:val="008D7BFC"/>
    <w:rsid w:val="008D7F7B"/>
    <w:rsid w:val="008E079D"/>
    <w:rsid w:val="008E1942"/>
    <w:rsid w:val="008E1E00"/>
    <w:rsid w:val="008E22F9"/>
    <w:rsid w:val="008E2E5F"/>
    <w:rsid w:val="008E363D"/>
    <w:rsid w:val="008E3E0E"/>
    <w:rsid w:val="008E4622"/>
    <w:rsid w:val="008E4DE1"/>
    <w:rsid w:val="008E6553"/>
    <w:rsid w:val="008E6833"/>
    <w:rsid w:val="008E6ADC"/>
    <w:rsid w:val="008E7484"/>
    <w:rsid w:val="008E7567"/>
    <w:rsid w:val="008E756E"/>
    <w:rsid w:val="008E7BD1"/>
    <w:rsid w:val="008E7EA0"/>
    <w:rsid w:val="008E7F0B"/>
    <w:rsid w:val="008E7FD4"/>
    <w:rsid w:val="008F0046"/>
    <w:rsid w:val="008F03C9"/>
    <w:rsid w:val="008F0E94"/>
    <w:rsid w:val="008F1407"/>
    <w:rsid w:val="008F1719"/>
    <w:rsid w:val="008F228E"/>
    <w:rsid w:val="008F2AA4"/>
    <w:rsid w:val="008F2DA6"/>
    <w:rsid w:val="008F3A03"/>
    <w:rsid w:val="008F4BF6"/>
    <w:rsid w:val="008F4CD9"/>
    <w:rsid w:val="008F504C"/>
    <w:rsid w:val="008F55DF"/>
    <w:rsid w:val="008F563E"/>
    <w:rsid w:val="008F569C"/>
    <w:rsid w:val="008F5DC5"/>
    <w:rsid w:val="008F5E63"/>
    <w:rsid w:val="008F5FAE"/>
    <w:rsid w:val="008F6119"/>
    <w:rsid w:val="008F64D5"/>
    <w:rsid w:val="008F70D0"/>
    <w:rsid w:val="008F7590"/>
    <w:rsid w:val="0090083E"/>
    <w:rsid w:val="00900CD1"/>
    <w:rsid w:val="009011DB"/>
    <w:rsid w:val="00901386"/>
    <w:rsid w:val="009016E9"/>
    <w:rsid w:val="00901EAF"/>
    <w:rsid w:val="00901FC0"/>
    <w:rsid w:val="009024E4"/>
    <w:rsid w:val="00902FF8"/>
    <w:rsid w:val="0090395B"/>
    <w:rsid w:val="00903F96"/>
    <w:rsid w:val="00904079"/>
    <w:rsid w:val="009043E9"/>
    <w:rsid w:val="00904411"/>
    <w:rsid w:val="0090483F"/>
    <w:rsid w:val="009048F2"/>
    <w:rsid w:val="00904BB6"/>
    <w:rsid w:val="00905058"/>
    <w:rsid w:val="009059E9"/>
    <w:rsid w:val="00906860"/>
    <w:rsid w:val="0090691C"/>
    <w:rsid w:val="009069B9"/>
    <w:rsid w:val="00906CEE"/>
    <w:rsid w:val="00906DC3"/>
    <w:rsid w:val="009075D4"/>
    <w:rsid w:val="00910752"/>
    <w:rsid w:val="0091085C"/>
    <w:rsid w:val="0091115E"/>
    <w:rsid w:val="00911488"/>
    <w:rsid w:val="0091157D"/>
    <w:rsid w:val="00911A2C"/>
    <w:rsid w:val="00911A3B"/>
    <w:rsid w:val="00911A68"/>
    <w:rsid w:val="00911DB1"/>
    <w:rsid w:val="00911E02"/>
    <w:rsid w:val="009122CF"/>
    <w:rsid w:val="009137B3"/>
    <w:rsid w:val="00913A3C"/>
    <w:rsid w:val="00913B3C"/>
    <w:rsid w:val="00913D85"/>
    <w:rsid w:val="009144C6"/>
    <w:rsid w:val="009145B5"/>
    <w:rsid w:val="00914820"/>
    <w:rsid w:val="009150BF"/>
    <w:rsid w:val="009156F1"/>
    <w:rsid w:val="00915AD4"/>
    <w:rsid w:val="00915AF9"/>
    <w:rsid w:val="0091654D"/>
    <w:rsid w:val="00916990"/>
    <w:rsid w:val="00916BA7"/>
    <w:rsid w:val="0091782D"/>
    <w:rsid w:val="00917988"/>
    <w:rsid w:val="00917ACC"/>
    <w:rsid w:val="009204EF"/>
    <w:rsid w:val="009207C6"/>
    <w:rsid w:val="00920986"/>
    <w:rsid w:val="00920CE5"/>
    <w:rsid w:val="00922152"/>
    <w:rsid w:val="00922C25"/>
    <w:rsid w:val="00922C44"/>
    <w:rsid w:val="0092311B"/>
    <w:rsid w:val="00923195"/>
    <w:rsid w:val="00924559"/>
    <w:rsid w:val="00924581"/>
    <w:rsid w:val="00925405"/>
    <w:rsid w:val="00925D59"/>
    <w:rsid w:val="009265F7"/>
    <w:rsid w:val="00926F58"/>
    <w:rsid w:val="00927D47"/>
    <w:rsid w:val="00927E84"/>
    <w:rsid w:val="00927FFA"/>
    <w:rsid w:val="00930A41"/>
    <w:rsid w:val="00930CC0"/>
    <w:rsid w:val="00930E50"/>
    <w:rsid w:val="00931A36"/>
    <w:rsid w:val="0093281D"/>
    <w:rsid w:val="00932C75"/>
    <w:rsid w:val="00933045"/>
    <w:rsid w:val="0093369A"/>
    <w:rsid w:val="009337F0"/>
    <w:rsid w:val="0093381F"/>
    <w:rsid w:val="00933A84"/>
    <w:rsid w:val="0093439B"/>
    <w:rsid w:val="00934816"/>
    <w:rsid w:val="009349C6"/>
    <w:rsid w:val="00934BE2"/>
    <w:rsid w:val="00934C9C"/>
    <w:rsid w:val="00934D8C"/>
    <w:rsid w:val="00934DE5"/>
    <w:rsid w:val="00935CA5"/>
    <w:rsid w:val="00936317"/>
    <w:rsid w:val="00936CB3"/>
    <w:rsid w:val="00936D85"/>
    <w:rsid w:val="009371CA"/>
    <w:rsid w:val="009374BA"/>
    <w:rsid w:val="009376A8"/>
    <w:rsid w:val="00937845"/>
    <w:rsid w:val="00937EFE"/>
    <w:rsid w:val="00940022"/>
    <w:rsid w:val="009401C1"/>
    <w:rsid w:val="0094022E"/>
    <w:rsid w:val="009405A7"/>
    <w:rsid w:val="009406B3"/>
    <w:rsid w:val="00940CE2"/>
    <w:rsid w:val="00940FFF"/>
    <w:rsid w:val="0094169B"/>
    <w:rsid w:val="00941973"/>
    <w:rsid w:val="00941EF9"/>
    <w:rsid w:val="00942020"/>
    <w:rsid w:val="00942486"/>
    <w:rsid w:val="00942584"/>
    <w:rsid w:val="009425B6"/>
    <w:rsid w:val="009425C1"/>
    <w:rsid w:val="009426D2"/>
    <w:rsid w:val="0094277E"/>
    <w:rsid w:val="009427C7"/>
    <w:rsid w:val="009427E6"/>
    <w:rsid w:val="0094317F"/>
    <w:rsid w:val="00943330"/>
    <w:rsid w:val="0094363E"/>
    <w:rsid w:val="009438D5"/>
    <w:rsid w:val="00943942"/>
    <w:rsid w:val="00943C05"/>
    <w:rsid w:val="0094401A"/>
    <w:rsid w:val="00944103"/>
    <w:rsid w:val="00944594"/>
    <w:rsid w:val="009446AD"/>
    <w:rsid w:val="00946848"/>
    <w:rsid w:val="00946A24"/>
    <w:rsid w:val="009470D4"/>
    <w:rsid w:val="009471B5"/>
    <w:rsid w:val="00947E3F"/>
    <w:rsid w:val="00947EF2"/>
    <w:rsid w:val="00950048"/>
    <w:rsid w:val="00950A0A"/>
    <w:rsid w:val="009516EE"/>
    <w:rsid w:val="00951AD5"/>
    <w:rsid w:val="00951F8D"/>
    <w:rsid w:val="0095230F"/>
    <w:rsid w:val="00952410"/>
    <w:rsid w:val="0095260A"/>
    <w:rsid w:val="0095298D"/>
    <w:rsid w:val="00952C51"/>
    <w:rsid w:val="00952F73"/>
    <w:rsid w:val="0095325A"/>
    <w:rsid w:val="009537EA"/>
    <w:rsid w:val="00953A62"/>
    <w:rsid w:val="00953E2F"/>
    <w:rsid w:val="00953FA9"/>
    <w:rsid w:val="0095418E"/>
    <w:rsid w:val="009542A3"/>
    <w:rsid w:val="00954598"/>
    <w:rsid w:val="00954A4E"/>
    <w:rsid w:val="00954BE0"/>
    <w:rsid w:val="00954F06"/>
    <w:rsid w:val="009550E1"/>
    <w:rsid w:val="0095555D"/>
    <w:rsid w:val="009561C1"/>
    <w:rsid w:val="00956CE0"/>
    <w:rsid w:val="00957039"/>
    <w:rsid w:val="009571C3"/>
    <w:rsid w:val="009575D9"/>
    <w:rsid w:val="00957AFA"/>
    <w:rsid w:val="00960002"/>
    <w:rsid w:val="00960703"/>
    <w:rsid w:val="009608EC"/>
    <w:rsid w:val="00960E07"/>
    <w:rsid w:val="00961402"/>
    <w:rsid w:val="00961C54"/>
    <w:rsid w:val="00961E92"/>
    <w:rsid w:val="00962824"/>
    <w:rsid w:val="00962C3F"/>
    <w:rsid w:val="00962F63"/>
    <w:rsid w:val="0096317B"/>
    <w:rsid w:val="00963CA2"/>
    <w:rsid w:val="00964197"/>
    <w:rsid w:val="00964538"/>
    <w:rsid w:val="009647B7"/>
    <w:rsid w:val="00964956"/>
    <w:rsid w:val="00964AFD"/>
    <w:rsid w:val="00964C94"/>
    <w:rsid w:val="00964EF6"/>
    <w:rsid w:val="00964F3E"/>
    <w:rsid w:val="0096541D"/>
    <w:rsid w:val="009658A2"/>
    <w:rsid w:val="00965DB2"/>
    <w:rsid w:val="00965E5C"/>
    <w:rsid w:val="00965F3A"/>
    <w:rsid w:val="009668CA"/>
    <w:rsid w:val="00966A08"/>
    <w:rsid w:val="00966B3F"/>
    <w:rsid w:val="00967566"/>
    <w:rsid w:val="009675E3"/>
    <w:rsid w:val="009678DD"/>
    <w:rsid w:val="00967DB6"/>
    <w:rsid w:val="009700AD"/>
    <w:rsid w:val="00970477"/>
    <w:rsid w:val="0097055F"/>
    <w:rsid w:val="00970841"/>
    <w:rsid w:val="00970F31"/>
    <w:rsid w:val="00971033"/>
    <w:rsid w:val="00971061"/>
    <w:rsid w:val="0097150C"/>
    <w:rsid w:val="0097153F"/>
    <w:rsid w:val="00971C4C"/>
    <w:rsid w:val="009724BD"/>
    <w:rsid w:val="00972768"/>
    <w:rsid w:val="00972884"/>
    <w:rsid w:val="009729AC"/>
    <w:rsid w:val="00973603"/>
    <w:rsid w:val="00973854"/>
    <w:rsid w:val="00973C9A"/>
    <w:rsid w:val="00974578"/>
    <w:rsid w:val="00974B1C"/>
    <w:rsid w:val="0097526A"/>
    <w:rsid w:val="009761FD"/>
    <w:rsid w:val="00976B00"/>
    <w:rsid w:val="00976EBB"/>
    <w:rsid w:val="0097702C"/>
    <w:rsid w:val="00977600"/>
    <w:rsid w:val="00977645"/>
    <w:rsid w:val="00977C47"/>
    <w:rsid w:val="0098079A"/>
    <w:rsid w:val="00980DD3"/>
    <w:rsid w:val="00980E5A"/>
    <w:rsid w:val="00980F81"/>
    <w:rsid w:val="00981068"/>
    <w:rsid w:val="00981654"/>
    <w:rsid w:val="009818B3"/>
    <w:rsid w:val="00981EEA"/>
    <w:rsid w:val="00982A4D"/>
    <w:rsid w:val="00983212"/>
    <w:rsid w:val="00983393"/>
    <w:rsid w:val="00983DDE"/>
    <w:rsid w:val="00983F33"/>
    <w:rsid w:val="00983FD1"/>
    <w:rsid w:val="0098449B"/>
    <w:rsid w:val="00984607"/>
    <w:rsid w:val="00984B59"/>
    <w:rsid w:val="009851F7"/>
    <w:rsid w:val="00985C9D"/>
    <w:rsid w:val="00990438"/>
    <w:rsid w:val="00990598"/>
    <w:rsid w:val="009908B5"/>
    <w:rsid w:val="00991187"/>
    <w:rsid w:val="009914E4"/>
    <w:rsid w:val="0099162B"/>
    <w:rsid w:val="0099165A"/>
    <w:rsid w:val="00991CE5"/>
    <w:rsid w:val="00993848"/>
    <w:rsid w:val="009938C6"/>
    <w:rsid w:val="00993EE1"/>
    <w:rsid w:val="00994327"/>
    <w:rsid w:val="009943C9"/>
    <w:rsid w:val="00994766"/>
    <w:rsid w:val="0099573A"/>
    <w:rsid w:val="00995995"/>
    <w:rsid w:val="00995B75"/>
    <w:rsid w:val="00995E06"/>
    <w:rsid w:val="0099638C"/>
    <w:rsid w:val="00996560"/>
    <w:rsid w:val="00996629"/>
    <w:rsid w:val="009971BD"/>
    <w:rsid w:val="009973F8"/>
    <w:rsid w:val="0099744F"/>
    <w:rsid w:val="00997828"/>
    <w:rsid w:val="00997C42"/>
    <w:rsid w:val="00997C90"/>
    <w:rsid w:val="00997D6B"/>
    <w:rsid w:val="00997F34"/>
    <w:rsid w:val="009A0819"/>
    <w:rsid w:val="009A0AAE"/>
    <w:rsid w:val="009A0ABD"/>
    <w:rsid w:val="009A1180"/>
    <w:rsid w:val="009A1779"/>
    <w:rsid w:val="009A1AD6"/>
    <w:rsid w:val="009A1F9C"/>
    <w:rsid w:val="009A2138"/>
    <w:rsid w:val="009A2FA7"/>
    <w:rsid w:val="009A307D"/>
    <w:rsid w:val="009A30D1"/>
    <w:rsid w:val="009A339C"/>
    <w:rsid w:val="009A3700"/>
    <w:rsid w:val="009A5A96"/>
    <w:rsid w:val="009A66EF"/>
    <w:rsid w:val="009A6749"/>
    <w:rsid w:val="009A6AF2"/>
    <w:rsid w:val="009A6CA1"/>
    <w:rsid w:val="009A7049"/>
    <w:rsid w:val="009A7CD8"/>
    <w:rsid w:val="009B0726"/>
    <w:rsid w:val="009B08A8"/>
    <w:rsid w:val="009B0994"/>
    <w:rsid w:val="009B0BBB"/>
    <w:rsid w:val="009B0C6D"/>
    <w:rsid w:val="009B170E"/>
    <w:rsid w:val="009B1D25"/>
    <w:rsid w:val="009B1D77"/>
    <w:rsid w:val="009B1FA7"/>
    <w:rsid w:val="009B2233"/>
    <w:rsid w:val="009B247B"/>
    <w:rsid w:val="009B2850"/>
    <w:rsid w:val="009B2A22"/>
    <w:rsid w:val="009B2AE3"/>
    <w:rsid w:val="009B2B09"/>
    <w:rsid w:val="009B331C"/>
    <w:rsid w:val="009B357F"/>
    <w:rsid w:val="009B3737"/>
    <w:rsid w:val="009B3849"/>
    <w:rsid w:val="009B3AC4"/>
    <w:rsid w:val="009B3DBA"/>
    <w:rsid w:val="009B40C4"/>
    <w:rsid w:val="009B47E5"/>
    <w:rsid w:val="009B49AB"/>
    <w:rsid w:val="009B508C"/>
    <w:rsid w:val="009B531B"/>
    <w:rsid w:val="009B55A3"/>
    <w:rsid w:val="009B5A1B"/>
    <w:rsid w:val="009B5D01"/>
    <w:rsid w:val="009B6AED"/>
    <w:rsid w:val="009B6FA9"/>
    <w:rsid w:val="009B75AB"/>
    <w:rsid w:val="009C0559"/>
    <w:rsid w:val="009C0AD6"/>
    <w:rsid w:val="009C1337"/>
    <w:rsid w:val="009C1380"/>
    <w:rsid w:val="009C143C"/>
    <w:rsid w:val="009C17A3"/>
    <w:rsid w:val="009C1BC6"/>
    <w:rsid w:val="009C262F"/>
    <w:rsid w:val="009C2F94"/>
    <w:rsid w:val="009C34D0"/>
    <w:rsid w:val="009C35DA"/>
    <w:rsid w:val="009C3750"/>
    <w:rsid w:val="009C3909"/>
    <w:rsid w:val="009C3BA8"/>
    <w:rsid w:val="009C3BC3"/>
    <w:rsid w:val="009C40F5"/>
    <w:rsid w:val="009C4419"/>
    <w:rsid w:val="009C49FA"/>
    <w:rsid w:val="009C4A61"/>
    <w:rsid w:val="009C559B"/>
    <w:rsid w:val="009C563F"/>
    <w:rsid w:val="009C5BC6"/>
    <w:rsid w:val="009C5E95"/>
    <w:rsid w:val="009C61A2"/>
    <w:rsid w:val="009C64EB"/>
    <w:rsid w:val="009C671A"/>
    <w:rsid w:val="009C7407"/>
    <w:rsid w:val="009C7A01"/>
    <w:rsid w:val="009C7EF8"/>
    <w:rsid w:val="009C7EFA"/>
    <w:rsid w:val="009D0286"/>
    <w:rsid w:val="009D0390"/>
    <w:rsid w:val="009D03BE"/>
    <w:rsid w:val="009D098B"/>
    <w:rsid w:val="009D0CD1"/>
    <w:rsid w:val="009D1002"/>
    <w:rsid w:val="009D15A5"/>
    <w:rsid w:val="009D16E5"/>
    <w:rsid w:val="009D18B9"/>
    <w:rsid w:val="009D20F6"/>
    <w:rsid w:val="009D252D"/>
    <w:rsid w:val="009D2CB4"/>
    <w:rsid w:val="009D2DF0"/>
    <w:rsid w:val="009D3F74"/>
    <w:rsid w:val="009D47E8"/>
    <w:rsid w:val="009D4F1B"/>
    <w:rsid w:val="009D5674"/>
    <w:rsid w:val="009D58AB"/>
    <w:rsid w:val="009D64EE"/>
    <w:rsid w:val="009D65BD"/>
    <w:rsid w:val="009D67FE"/>
    <w:rsid w:val="009D6BD5"/>
    <w:rsid w:val="009D71A7"/>
    <w:rsid w:val="009D740E"/>
    <w:rsid w:val="009D7866"/>
    <w:rsid w:val="009D7EC3"/>
    <w:rsid w:val="009D7EE3"/>
    <w:rsid w:val="009D7FAE"/>
    <w:rsid w:val="009E0084"/>
    <w:rsid w:val="009E0413"/>
    <w:rsid w:val="009E0811"/>
    <w:rsid w:val="009E14A0"/>
    <w:rsid w:val="009E14F3"/>
    <w:rsid w:val="009E185C"/>
    <w:rsid w:val="009E1895"/>
    <w:rsid w:val="009E236E"/>
    <w:rsid w:val="009E24AC"/>
    <w:rsid w:val="009E2813"/>
    <w:rsid w:val="009E2968"/>
    <w:rsid w:val="009E3320"/>
    <w:rsid w:val="009E345C"/>
    <w:rsid w:val="009E35C8"/>
    <w:rsid w:val="009E35E9"/>
    <w:rsid w:val="009E39C1"/>
    <w:rsid w:val="009E4056"/>
    <w:rsid w:val="009E4176"/>
    <w:rsid w:val="009E4195"/>
    <w:rsid w:val="009E452E"/>
    <w:rsid w:val="009E4C51"/>
    <w:rsid w:val="009E4D0F"/>
    <w:rsid w:val="009E5962"/>
    <w:rsid w:val="009E694B"/>
    <w:rsid w:val="009E6E8C"/>
    <w:rsid w:val="009E74BC"/>
    <w:rsid w:val="009E7BFE"/>
    <w:rsid w:val="009E7E71"/>
    <w:rsid w:val="009F037B"/>
    <w:rsid w:val="009F0576"/>
    <w:rsid w:val="009F0FA5"/>
    <w:rsid w:val="009F1464"/>
    <w:rsid w:val="009F15B5"/>
    <w:rsid w:val="009F171E"/>
    <w:rsid w:val="009F17F8"/>
    <w:rsid w:val="009F1B91"/>
    <w:rsid w:val="009F21DF"/>
    <w:rsid w:val="009F2CB7"/>
    <w:rsid w:val="009F2D9C"/>
    <w:rsid w:val="009F354F"/>
    <w:rsid w:val="009F40F4"/>
    <w:rsid w:val="009F41E5"/>
    <w:rsid w:val="009F4C69"/>
    <w:rsid w:val="009F5280"/>
    <w:rsid w:val="009F5CB9"/>
    <w:rsid w:val="009F607B"/>
    <w:rsid w:val="009F60DB"/>
    <w:rsid w:val="009F6E6A"/>
    <w:rsid w:val="009F70D5"/>
    <w:rsid w:val="009F734B"/>
    <w:rsid w:val="009F76FD"/>
    <w:rsid w:val="009F7DE7"/>
    <w:rsid w:val="009F7E8A"/>
    <w:rsid w:val="009F7F02"/>
    <w:rsid w:val="009F7FE4"/>
    <w:rsid w:val="00A001E2"/>
    <w:rsid w:val="00A0065B"/>
    <w:rsid w:val="00A00836"/>
    <w:rsid w:val="00A00A61"/>
    <w:rsid w:val="00A01D35"/>
    <w:rsid w:val="00A01F9E"/>
    <w:rsid w:val="00A020D9"/>
    <w:rsid w:val="00A02321"/>
    <w:rsid w:val="00A0272D"/>
    <w:rsid w:val="00A0310F"/>
    <w:rsid w:val="00A03333"/>
    <w:rsid w:val="00A03619"/>
    <w:rsid w:val="00A03D6F"/>
    <w:rsid w:val="00A04184"/>
    <w:rsid w:val="00A0461B"/>
    <w:rsid w:val="00A047A7"/>
    <w:rsid w:val="00A04A27"/>
    <w:rsid w:val="00A04DF2"/>
    <w:rsid w:val="00A0554E"/>
    <w:rsid w:val="00A05985"/>
    <w:rsid w:val="00A061BA"/>
    <w:rsid w:val="00A0628E"/>
    <w:rsid w:val="00A067F0"/>
    <w:rsid w:val="00A07006"/>
    <w:rsid w:val="00A07303"/>
    <w:rsid w:val="00A077B6"/>
    <w:rsid w:val="00A079E1"/>
    <w:rsid w:val="00A1027C"/>
    <w:rsid w:val="00A10538"/>
    <w:rsid w:val="00A10A88"/>
    <w:rsid w:val="00A10BD4"/>
    <w:rsid w:val="00A10C93"/>
    <w:rsid w:val="00A10FA7"/>
    <w:rsid w:val="00A114B7"/>
    <w:rsid w:val="00A11570"/>
    <w:rsid w:val="00A11AD9"/>
    <w:rsid w:val="00A11C80"/>
    <w:rsid w:val="00A11CA0"/>
    <w:rsid w:val="00A11EB9"/>
    <w:rsid w:val="00A12255"/>
    <w:rsid w:val="00A1253F"/>
    <w:rsid w:val="00A12665"/>
    <w:rsid w:val="00A127CC"/>
    <w:rsid w:val="00A12EF0"/>
    <w:rsid w:val="00A13364"/>
    <w:rsid w:val="00A13703"/>
    <w:rsid w:val="00A13C3C"/>
    <w:rsid w:val="00A1400B"/>
    <w:rsid w:val="00A14231"/>
    <w:rsid w:val="00A1497E"/>
    <w:rsid w:val="00A14A38"/>
    <w:rsid w:val="00A14C6D"/>
    <w:rsid w:val="00A15069"/>
    <w:rsid w:val="00A154A6"/>
    <w:rsid w:val="00A154FB"/>
    <w:rsid w:val="00A159A9"/>
    <w:rsid w:val="00A15B38"/>
    <w:rsid w:val="00A15D68"/>
    <w:rsid w:val="00A160B8"/>
    <w:rsid w:val="00A161F8"/>
    <w:rsid w:val="00A169D0"/>
    <w:rsid w:val="00A173FB"/>
    <w:rsid w:val="00A17657"/>
    <w:rsid w:val="00A17D11"/>
    <w:rsid w:val="00A203D7"/>
    <w:rsid w:val="00A212E4"/>
    <w:rsid w:val="00A2224E"/>
    <w:rsid w:val="00A22348"/>
    <w:rsid w:val="00A22A01"/>
    <w:rsid w:val="00A22DDE"/>
    <w:rsid w:val="00A22F46"/>
    <w:rsid w:val="00A23160"/>
    <w:rsid w:val="00A23352"/>
    <w:rsid w:val="00A23619"/>
    <w:rsid w:val="00A239CB"/>
    <w:rsid w:val="00A2403A"/>
    <w:rsid w:val="00A24073"/>
    <w:rsid w:val="00A2465F"/>
    <w:rsid w:val="00A25598"/>
    <w:rsid w:val="00A256B1"/>
    <w:rsid w:val="00A25A23"/>
    <w:rsid w:val="00A26F69"/>
    <w:rsid w:val="00A277A1"/>
    <w:rsid w:val="00A3015B"/>
    <w:rsid w:val="00A303D8"/>
    <w:rsid w:val="00A30F06"/>
    <w:rsid w:val="00A31201"/>
    <w:rsid w:val="00A31299"/>
    <w:rsid w:val="00A32838"/>
    <w:rsid w:val="00A328FF"/>
    <w:rsid w:val="00A33939"/>
    <w:rsid w:val="00A3418D"/>
    <w:rsid w:val="00A34299"/>
    <w:rsid w:val="00A34401"/>
    <w:rsid w:val="00A34549"/>
    <w:rsid w:val="00A3547F"/>
    <w:rsid w:val="00A354A2"/>
    <w:rsid w:val="00A357FE"/>
    <w:rsid w:val="00A35AEE"/>
    <w:rsid w:val="00A35CED"/>
    <w:rsid w:val="00A35F9F"/>
    <w:rsid w:val="00A3624C"/>
    <w:rsid w:val="00A366A9"/>
    <w:rsid w:val="00A36BFC"/>
    <w:rsid w:val="00A371E1"/>
    <w:rsid w:val="00A37389"/>
    <w:rsid w:val="00A37659"/>
    <w:rsid w:val="00A377E0"/>
    <w:rsid w:val="00A37944"/>
    <w:rsid w:val="00A37A2A"/>
    <w:rsid w:val="00A37AD1"/>
    <w:rsid w:val="00A37E73"/>
    <w:rsid w:val="00A37F17"/>
    <w:rsid w:val="00A40064"/>
    <w:rsid w:val="00A4030B"/>
    <w:rsid w:val="00A40D3F"/>
    <w:rsid w:val="00A41124"/>
    <w:rsid w:val="00A4123D"/>
    <w:rsid w:val="00A4177D"/>
    <w:rsid w:val="00A41828"/>
    <w:rsid w:val="00A41896"/>
    <w:rsid w:val="00A4245E"/>
    <w:rsid w:val="00A4250E"/>
    <w:rsid w:val="00A42AF4"/>
    <w:rsid w:val="00A42BB3"/>
    <w:rsid w:val="00A430F6"/>
    <w:rsid w:val="00A4355D"/>
    <w:rsid w:val="00A437DE"/>
    <w:rsid w:val="00A43BA1"/>
    <w:rsid w:val="00A43CD2"/>
    <w:rsid w:val="00A43E3E"/>
    <w:rsid w:val="00A4413A"/>
    <w:rsid w:val="00A4441E"/>
    <w:rsid w:val="00A4448E"/>
    <w:rsid w:val="00A44647"/>
    <w:rsid w:val="00A44E3C"/>
    <w:rsid w:val="00A453C0"/>
    <w:rsid w:val="00A457DC"/>
    <w:rsid w:val="00A45BE2"/>
    <w:rsid w:val="00A45D3B"/>
    <w:rsid w:val="00A47189"/>
    <w:rsid w:val="00A478CE"/>
    <w:rsid w:val="00A47E1D"/>
    <w:rsid w:val="00A47EFB"/>
    <w:rsid w:val="00A503C5"/>
    <w:rsid w:val="00A50E0E"/>
    <w:rsid w:val="00A5140C"/>
    <w:rsid w:val="00A51A44"/>
    <w:rsid w:val="00A51ACF"/>
    <w:rsid w:val="00A522C7"/>
    <w:rsid w:val="00A52598"/>
    <w:rsid w:val="00A53820"/>
    <w:rsid w:val="00A538DB"/>
    <w:rsid w:val="00A53C2C"/>
    <w:rsid w:val="00A53CA8"/>
    <w:rsid w:val="00A53D09"/>
    <w:rsid w:val="00A54279"/>
    <w:rsid w:val="00A542B3"/>
    <w:rsid w:val="00A543A2"/>
    <w:rsid w:val="00A54939"/>
    <w:rsid w:val="00A54A16"/>
    <w:rsid w:val="00A54E19"/>
    <w:rsid w:val="00A5585B"/>
    <w:rsid w:val="00A55C75"/>
    <w:rsid w:val="00A55D58"/>
    <w:rsid w:val="00A55F26"/>
    <w:rsid w:val="00A562FC"/>
    <w:rsid w:val="00A5665A"/>
    <w:rsid w:val="00A572A0"/>
    <w:rsid w:val="00A578C3"/>
    <w:rsid w:val="00A608AF"/>
    <w:rsid w:val="00A61154"/>
    <w:rsid w:val="00A6147E"/>
    <w:rsid w:val="00A6167F"/>
    <w:rsid w:val="00A61783"/>
    <w:rsid w:val="00A6188F"/>
    <w:rsid w:val="00A618FD"/>
    <w:rsid w:val="00A61BF7"/>
    <w:rsid w:val="00A61E40"/>
    <w:rsid w:val="00A629E1"/>
    <w:rsid w:val="00A62DF7"/>
    <w:rsid w:val="00A635E1"/>
    <w:rsid w:val="00A63908"/>
    <w:rsid w:val="00A6398F"/>
    <w:rsid w:val="00A63EDE"/>
    <w:rsid w:val="00A641F4"/>
    <w:rsid w:val="00A642CA"/>
    <w:rsid w:val="00A64B44"/>
    <w:rsid w:val="00A64E4A"/>
    <w:rsid w:val="00A64E92"/>
    <w:rsid w:val="00A6565A"/>
    <w:rsid w:val="00A6595F"/>
    <w:rsid w:val="00A65A6D"/>
    <w:rsid w:val="00A65CF5"/>
    <w:rsid w:val="00A66E61"/>
    <w:rsid w:val="00A670DB"/>
    <w:rsid w:val="00A6714D"/>
    <w:rsid w:val="00A675C9"/>
    <w:rsid w:val="00A676C9"/>
    <w:rsid w:val="00A70677"/>
    <w:rsid w:val="00A70932"/>
    <w:rsid w:val="00A70938"/>
    <w:rsid w:val="00A70C04"/>
    <w:rsid w:val="00A70CAA"/>
    <w:rsid w:val="00A7109D"/>
    <w:rsid w:val="00A71BA4"/>
    <w:rsid w:val="00A721BC"/>
    <w:rsid w:val="00A72929"/>
    <w:rsid w:val="00A72A9C"/>
    <w:rsid w:val="00A72B7C"/>
    <w:rsid w:val="00A73A68"/>
    <w:rsid w:val="00A74199"/>
    <w:rsid w:val="00A74449"/>
    <w:rsid w:val="00A749E8"/>
    <w:rsid w:val="00A74BD3"/>
    <w:rsid w:val="00A74E68"/>
    <w:rsid w:val="00A74EEF"/>
    <w:rsid w:val="00A74F42"/>
    <w:rsid w:val="00A754F9"/>
    <w:rsid w:val="00A7578F"/>
    <w:rsid w:val="00A75E84"/>
    <w:rsid w:val="00A76058"/>
    <w:rsid w:val="00A7614E"/>
    <w:rsid w:val="00A7639D"/>
    <w:rsid w:val="00A76643"/>
    <w:rsid w:val="00A7669E"/>
    <w:rsid w:val="00A7672A"/>
    <w:rsid w:val="00A76FAF"/>
    <w:rsid w:val="00A76FD1"/>
    <w:rsid w:val="00A77782"/>
    <w:rsid w:val="00A778F4"/>
    <w:rsid w:val="00A77CEC"/>
    <w:rsid w:val="00A77D3B"/>
    <w:rsid w:val="00A77E81"/>
    <w:rsid w:val="00A80BDB"/>
    <w:rsid w:val="00A810FD"/>
    <w:rsid w:val="00A8134D"/>
    <w:rsid w:val="00A81437"/>
    <w:rsid w:val="00A81451"/>
    <w:rsid w:val="00A81792"/>
    <w:rsid w:val="00A819A6"/>
    <w:rsid w:val="00A819AB"/>
    <w:rsid w:val="00A81EFE"/>
    <w:rsid w:val="00A82228"/>
    <w:rsid w:val="00A82279"/>
    <w:rsid w:val="00A82320"/>
    <w:rsid w:val="00A826BD"/>
    <w:rsid w:val="00A8270B"/>
    <w:rsid w:val="00A828DE"/>
    <w:rsid w:val="00A82B2D"/>
    <w:rsid w:val="00A82C70"/>
    <w:rsid w:val="00A82DB4"/>
    <w:rsid w:val="00A833D7"/>
    <w:rsid w:val="00A833FF"/>
    <w:rsid w:val="00A8349A"/>
    <w:rsid w:val="00A835CE"/>
    <w:rsid w:val="00A83632"/>
    <w:rsid w:val="00A83A90"/>
    <w:rsid w:val="00A83CDB"/>
    <w:rsid w:val="00A841B0"/>
    <w:rsid w:val="00A8461C"/>
    <w:rsid w:val="00A846C5"/>
    <w:rsid w:val="00A84964"/>
    <w:rsid w:val="00A85008"/>
    <w:rsid w:val="00A856E7"/>
    <w:rsid w:val="00A85A12"/>
    <w:rsid w:val="00A85ACA"/>
    <w:rsid w:val="00A85C75"/>
    <w:rsid w:val="00A86475"/>
    <w:rsid w:val="00A86D5B"/>
    <w:rsid w:val="00A86DD5"/>
    <w:rsid w:val="00A87D87"/>
    <w:rsid w:val="00A90485"/>
    <w:rsid w:val="00A91688"/>
    <w:rsid w:val="00A91705"/>
    <w:rsid w:val="00A919A7"/>
    <w:rsid w:val="00A91EA0"/>
    <w:rsid w:val="00A92108"/>
    <w:rsid w:val="00A921A7"/>
    <w:rsid w:val="00A92347"/>
    <w:rsid w:val="00A92AF6"/>
    <w:rsid w:val="00A930E8"/>
    <w:rsid w:val="00A93BA2"/>
    <w:rsid w:val="00A94310"/>
    <w:rsid w:val="00A94505"/>
    <w:rsid w:val="00A945E9"/>
    <w:rsid w:val="00A946BA"/>
    <w:rsid w:val="00A94D84"/>
    <w:rsid w:val="00A95176"/>
    <w:rsid w:val="00A95678"/>
    <w:rsid w:val="00A957A1"/>
    <w:rsid w:val="00A95D04"/>
    <w:rsid w:val="00A96A06"/>
    <w:rsid w:val="00A96B10"/>
    <w:rsid w:val="00A97685"/>
    <w:rsid w:val="00A9791C"/>
    <w:rsid w:val="00AA0145"/>
    <w:rsid w:val="00AA0236"/>
    <w:rsid w:val="00AA0456"/>
    <w:rsid w:val="00AA086C"/>
    <w:rsid w:val="00AA0B2A"/>
    <w:rsid w:val="00AA158A"/>
    <w:rsid w:val="00AA1E22"/>
    <w:rsid w:val="00AA1E56"/>
    <w:rsid w:val="00AA2340"/>
    <w:rsid w:val="00AA2532"/>
    <w:rsid w:val="00AA2A15"/>
    <w:rsid w:val="00AA2F0B"/>
    <w:rsid w:val="00AA472B"/>
    <w:rsid w:val="00AA4A6C"/>
    <w:rsid w:val="00AA554A"/>
    <w:rsid w:val="00AA5B2C"/>
    <w:rsid w:val="00AA68D8"/>
    <w:rsid w:val="00AA6CC0"/>
    <w:rsid w:val="00AA7099"/>
    <w:rsid w:val="00AA728D"/>
    <w:rsid w:val="00AB0200"/>
    <w:rsid w:val="00AB0234"/>
    <w:rsid w:val="00AB02A7"/>
    <w:rsid w:val="00AB0662"/>
    <w:rsid w:val="00AB0FB3"/>
    <w:rsid w:val="00AB1169"/>
    <w:rsid w:val="00AB1215"/>
    <w:rsid w:val="00AB17C9"/>
    <w:rsid w:val="00AB1BE9"/>
    <w:rsid w:val="00AB22CF"/>
    <w:rsid w:val="00AB2837"/>
    <w:rsid w:val="00AB2B80"/>
    <w:rsid w:val="00AB3C2A"/>
    <w:rsid w:val="00AB3F37"/>
    <w:rsid w:val="00AB457E"/>
    <w:rsid w:val="00AB4C32"/>
    <w:rsid w:val="00AB4CFD"/>
    <w:rsid w:val="00AB4E98"/>
    <w:rsid w:val="00AB4F12"/>
    <w:rsid w:val="00AB5208"/>
    <w:rsid w:val="00AB587B"/>
    <w:rsid w:val="00AB5C0C"/>
    <w:rsid w:val="00AB5EB0"/>
    <w:rsid w:val="00AB66C8"/>
    <w:rsid w:val="00AB66D7"/>
    <w:rsid w:val="00AB6ECB"/>
    <w:rsid w:val="00AB7DFB"/>
    <w:rsid w:val="00AC0358"/>
    <w:rsid w:val="00AC077E"/>
    <w:rsid w:val="00AC100A"/>
    <w:rsid w:val="00AC1705"/>
    <w:rsid w:val="00AC1735"/>
    <w:rsid w:val="00AC188E"/>
    <w:rsid w:val="00AC1903"/>
    <w:rsid w:val="00AC1C4E"/>
    <w:rsid w:val="00AC22B0"/>
    <w:rsid w:val="00AC29E1"/>
    <w:rsid w:val="00AC2DEF"/>
    <w:rsid w:val="00AC2F66"/>
    <w:rsid w:val="00AC39F7"/>
    <w:rsid w:val="00AC3B7A"/>
    <w:rsid w:val="00AC4A1B"/>
    <w:rsid w:val="00AC4E3D"/>
    <w:rsid w:val="00AC4F15"/>
    <w:rsid w:val="00AC6953"/>
    <w:rsid w:val="00AC70CA"/>
    <w:rsid w:val="00AC70F6"/>
    <w:rsid w:val="00AC7265"/>
    <w:rsid w:val="00AC752A"/>
    <w:rsid w:val="00AC7A49"/>
    <w:rsid w:val="00AC7ABB"/>
    <w:rsid w:val="00AC7F25"/>
    <w:rsid w:val="00AD01B3"/>
    <w:rsid w:val="00AD076C"/>
    <w:rsid w:val="00AD0C07"/>
    <w:rsid w:val="00AD1921"/>
    <w:rsid w:val="00AD2047"/>
    <w:rsid w:val="00AD2555"/>
    <w:rsid w:val="00AD2791"/>
    <w:rsid w:val="00AD2986"/>
    <w:rsid w:val="00AD3134"/>
    <w:rsid w:val="00AD328C"/>
    <w:rsid w:val="00AD3815"/>
    <w:rsid w:val="00AD42A1"/>
    <w:rsid w:val="00AD435C"/>
    <w:rsid w:val="00AD4574"/>
    <w:rsid w:val="00AD47F1"/>
    <w:rsid w:val="00AD48FD"/>
    <w:rsid w:val="00AD4D87"/>
    <w:rsid w:val="00AD680B"/>
    <w:rsid w:val="00AD69B1"/>
    <w:rsid w:val="00AD6CC4"/>
    <w:rsid w:val="00AD73A7"/>
    <w:rsid w:val="00AD74E2"/>
    <w:rsid w:val="00AD75BF"/>
    <w:rsid w:val="00AD7D83"/>
    <w:rsid w:val="00AE0181"/>
    <w:rsid w:val="00AE0222"/>
    <w:rsid w:val="00AE06CB"/>
    <w:rsid w:val="00AE0891"/>
    <w:rsid w:val="00AE0D02"/>
    <w:rsid w:val="00AE115B"/>
    <w:rsid w:val="00AE125A"/>
    <w:rsid w:val="00AE1660"/>
    <w:rsid w:val="00AE19E4"/>
    <w:rsid w:val="00AE1CB7"/>
    <w:rsid w:val="00AE1D63"/>
    <w:rsid w:val="00AE2A3F"/>
    <w:rsid w:val="00AE30E9"/>
    <w:rsid w:val="00AE3127"/>
    <w:rsid w:val="00AE38BD"/>
    <w:rsid w:val="00AE4672"/>
    <w:rsid w:val="00AE5B2F"/>
    <w:rsid w:val="00AE5BDC"/>
    <w:rsid w:val="00AE5ECF"/>
    <w:rsid w:val="00AE6659"/>
    <w:rsid w:val="00AE6BD9"/>
    <w:rsid w:val="00AE7400"/>
    <w:rsid w:val="00AE7783"/>
    <w:rsid w:val="00AE7832"/>
    <w:rsid w:val="00AF0253"/>
    <w:rsid w:val="00AF08D1"/>
    <w:rsid w:val="00AF0D2C"/>
    <w:rsid w:val="00AF0FCF"/>
    <w:rsid w:val="00AF121D"/>
    <w:rsid w:val="00AF13A9"/>
    <w:rsid w:val="00AF15AC"/>
    <w:rsid w:val="00AF22AF"/>
    <w:rsid w:val="00AF2CFA"/>
    <w:rsid w:val="00AF319D"/>
    <w:rsid w:val="00AF3320"/>
    <w:rsid w:val="00AF3421"/>
    <w:rsid w:val="00AF3659"/>
    <w:rsid w:val="00AF3791"/>
    <w:rsid w:val="00AF3996"/>
    <w:rsid w:val="00AF472A"/>
    <w:rsid w:val="00AF47CA"/>
    <w:rsid w:val="00AF4D6D"/>
    <w:rsid w:val="00AF4E77"/>
    <w:rsid w:val="00AF562F"/>
    <w:rsid w:val="00AF5A28"/>
    <w:rsid w:val="00AF5AEE"/>
    <w:rsid w:val="00AF5BF1"/>
    <w:rsid w:val="00AF6261"/>
    <w:rsid w:val="00AF6666"/>
    <w:rsid w:val="00AF6D8E"/>
    <w:rsid w:val="00AF71A1"/>
    <w:rsid w:val="00AF736D"/>
    <w:rsid w:val="00AF7475"/>
    <w:rsid w:val="00AF78AE"/>
    <w:rsid w:val="00AF796F"/>
    <w:rsid w:val="00AF7C23"/>
    <w:rsid w:val="00AF7F0B"/>
    <w:rsid w:val="00B002FE"/>
    <w:rsid w:val="00B00316"/>
    <w:rsid w:val="00B0074F"/>
    <w:rsid w:val="00B0080D"/>
    <w:rsid w:val="00B008C6"/>
    <w:rsid w:val="00B00C7D"/>
    <w:rsid w:val="00B00E61"/>
    <w:rsid w:val="00B011BF"/>
    <w:rsid w:val="00B01412"/>
    <w:rsid w:val="00B01C1C"/>
    <w:rsid w:val="00B01DDF"/>
    <w:rsid w:val="00B02808"/>
    <w:rsid w:val="00B02896"/>
    <w:rsid w:val="00B0301F"/>
    <w:rsid w:val="00B03370"/>
    <w:rsid w:val="00B03767"/>
    <w:rsid w:val="00B03D7D"/>
    <w:rsid w:val="00B04010"/>
    <w:rsid w:val="00B041D3"/>
    <w:rsid w:val="00B04223"/>
    <w:rsid w:val="00B044CD"/>
    <w:rsid w:val="00B0613E"/>
    <w:rsid w:val="00B06305"/>
    <w:rsid w:val="00B063ED"/>
    <w:rsid w:val="00B064D9"/>
    <w:rsid w:val="00B065A1"/>
    <w:rsid w:val="00B067A9"/>
    <w:rsid w:val="00B06B83"/>
    <w:rsid w:val="00B06FF3"/>
    <w:rsid w:val="00B07B55"/>
    <w:rsid w:val="00B07BF4"/>
    <w:rsid w:val="00B10032"/>
    <w:rsid w:val="00B1028D"/>
    <w:rsid w:val="00B10B09"/>
    <w:rsid w:val="00B117D1"/>
    <w:rsid w:val="00B11D95"/>
    <w:rsid w:val="00B11E85"/>
    <w:rsid w:val="00B12407"/>
    <w:rsid w:val="00B12837"/>
    <w:rsid w:val="00B1293B"/>
    <w:rsid w:val="00B130C7"/>
    <w:rsid w:val="00B13664"/>
    <w:rsid w:val="00B13795"/>
    <w:rsid w:val="00B13883"/>
    <w:rsid w:val="00B1454D"/>
    <w:rsid w:val="00B14670"/>
    <w:rsid w:val="00B147F0"/>
    <w:rsid w:val="00B14DAC"/>
    <w:rsid w:val="00B14E54"/>
    <w:rsid w:val="00B14EE1"/>
    <w:rsid w:val="00B1585F"/>
    <w:rsid w:val="00B16172"/>
    <w:rsid w:val="00B1684E"/>
    <w:rsid w:val="00B1709D"/>
    <w:rsid w:val="00B175A5"/>
    <w:rsid w:val="00B17D52"/>
    <w:rsid w:val="00B17F33"/>
    <w:rsid w:val="00B20B77"/>
    <w:rsid w:val="00B20FA9"/>
    <w:rsid w:val="00B21433"/>
    <w:rsid w:val="00B215C5"/>
    <w:rsid w:val="00B2186D"/>
    <w:rsid w:val="00B21979"/>
    <w:rsid w:val="00B21BA4"/>
    <w:rsid w:val="00B21C29"/>
    <w:rsid w:val="00B21F7A"/>
    <w:rsid w:val="00B22539"/>
    <w:rsid w:val="00B22595"/>
    <w:rsid w:val="00B22D7B"/>
    <w:rsid w:val="00B22FB9"/>
    <w:rsid w:val="00B22FFA"/>
    <w:rsid w:val="00B24FC6"/>
    <w:rsid w:val="00B26914"/>
    <w:rsid w:val="00B26D3D"/>
    <w:rsid w:val="00B27247"/>
    <w:rsid w:val="00B27293"/>
    <w:rsid w:val="00B276EC"/>
    <w:rsid w:val="00B27B7D"/>
    <w:rsid w:val="00B30117"/>
    <w:rsid w:val="00B3090F"/>
    <w:rsid w:val="00B30C40"/>
    <w:rsid w:val="00B30D67"/>
    <w:rsid w:val="00B30DE8"/>
    <w:rsid w:val="00B31374"/>
    <w:rsid w:val="00B31B8C"/>
    <w:rsid w:val="00B31D8D"/>
    <w:rsid w:val="00B3200A"/>
    <w:rsid w:val="00B3277C"/>
    <w:rsid w:val="00B334F3"/>
    <w:rsid w:val="00B3407C"/>
    <w:rsid w:val="00B34140"/>
    <w:rsid w:val="00B3428E"/>
    <w:rsid w:val="00B3438F"/>
    <w:rsid w:val="00B356C5"/>
    <w:rsid w:val="00B357DA"/>
    <w:rsid w:val="00B35DEE"/>
    <w:rsid w:val="00B35E67"/>
    <w:rsid w:val="00B3604C"/>
    <w:rsid w:val="00B36409"/>
    <w:rsid w:val="00B3658E"/>
    <w:rsid w:val="00B36659"/>
    <w:rsid w:val="00B3674B"/>
    <w:rsid w:val="00B36DAE"/>
    <w:rsid w:val="00B37289"/>
    <w:rsid w:val="00B3791B"/>
    <w:rsid w:val="00B37BED"/>
    <w:rsid w:val="00B37C63"/>
    <w:rsid w:val="00B37E9D"/>
    <w:rsid w:val="00B40E77"/>
    <w:rsid w:val="00B41008"/>
    <w:rsid w:val="00B41187"/>
    <w:rsid w:val="00B415A8"/>
    <w:rsid w:val="00B41A0A"/>
    <w:rsid w:val="00B42580"/>
    <w:rsid w:val="00B427C5"/>
    <w:rsid w:val="00B4281E"/>
    <w:rsid w:val="00B428A6"/>
    <w:rsid w:val="00B42D72"/>
    <w:rsid w:val="00B4308C"/>
    <w:rsid w:val="00B4323C"/>
    <w:rsid w:val="00B438CF"/>
    <w:rsid w:val="00B43B66"/>
    <w:rsid w:val="00B440BE"/>
    <w:rsid w:val="00B449C4"/>
    <w:rsid w:val="00B453B5"/>
    <w:rsid w:val="00B4562D"/>
    <w:rsid w:val="00B465E1"/>
    <w:rsid w:val="00B4711F"/>
    <w:rsid w:val="00B479EA"/>
    <w:rsid w:val="00B47FD1"/>
    <w:rsid w:val="00B47FD3"/>
    <w:rsid w:val="00B50091"/>
    <w:rsid w:val="00B50BCF"/>
    <w:rsid w:val="00B515D0"/>
    <w:rsid w:val="00B51FB2"/>
    <w:rsid w:val="00B520B1"/>
    <w:rsid w:val="00B5232A"/>
    <w:rsid w:val="00B52EF9"/>
    <w:rsid w:val="00B53E56"/>
    <w:rsid w:val="00B5459C"/>
    <w:rsid w:val="00B54DF9"/>
    <w:rsid w:val="00B5572F"/>
    <w:rsid w:val="00B55A96"/>
    <w:rsid w:val="00B55B7E"/>
    <w:rsid w:val="00B56490"/>
    <w:rsid w:val="00B56AF9"/>
    <w:rsid w:val="00B56BDC"/>
    <w:rsid w:val="00B57321"/>
    <w:rsid w:val="00B57442"/>
    <w:rsid w:val="00B57AF2"/>
    <w:rsid w:val="00B609CE"/>
    <w:rsid w:val="00B60E4A"/>
    <w:rsid w:val="00B617E4"/>
    <w:rsid w:val="00B618DD"/>
    <w:rsid w:val="00B629DA"/>
    <w:rsid w:val="00B63333"/>
    <w:rsid w:val="00B636D4"/>
    <w:rsid w:val="00B641C2"/>
    <w:rsid w:val="00B64424"/>
    <w:rsid w:val="00B652DA"/>
    <w:rsid w:val="00B652DB"/>
    <w:rsid w:val="00B654FF"/>
    <w:rsid w:val="00B6581E"/>
    <w:rsid w:val="00B6596F"/>
    <w:rsid w:val="00B65C42"/>
    <w:rsid w:val="00B65DF9"/>
    <w:rsid w:val="00B65FCE"/>
    <w:rsid w:val="00B66431"/>
    <w:rsid w:val="00B66A49"/>
    <w:rsid w:val="00B66B23"/>
    <w:rsid w:val="00B674C1"/>
    <w:rsid w:val="00B67BC5"/>
    <w:rsid w:val="00B7092D"/>
    <w:rsid w:val="00B70A1F"/>
    <w:rsid w:val="00B70B70"/>
    <w:rsid w:val="00B71151"/>
    <w:rsid w:val="00B72084"/>
    <w:rsid w:val="00B72470"/>
    <w:rsid w:val="00B72741"/>
    <w:rsid w:val="00B7289D"/>
    <w:rsid w:val="00B72B58"/>
    <w:rsid w:val="00B732D1"/>
    <w:rsid w:val="00B746CF"/>
    <w:rsid w:val="00B74EE6"/>
    <w:rsid w:val="00B75208"/>
    <w:rsid w:val="00B756FC"/>
    <w:rsid w:val="00B75E25"/>
    <w:rsid w:val="00B7603E"/>
    <w:rsid w:val="00B763F5"/>
    <w:rsid w:val="00B7655E"/>
    <w:rsid w:val="00B76584"/>
    <w:rsid w:val="00B76A7A"/>
    <w:rsid w:val="00B76CF8"/>
    <w:rsid w:val="00B779C6"/>
    <w:rsid w:val="00B77B7D"/>
    <w:rsid w:val="00B802F3"/>
    <w:rsid w:val="00B806C6"/>
    <w:rsid w:val="00B809F6"/>
    <w:rsid w:val="00B80AFD"/>
    <w:rsid w:val="00B80B20"/>
    <w:rsid w:val="00B80D6F"/>
    <w:rsid w:val="00B81070"/>
    <w:rsid w:val="00B81514"/>
    <w:rsid w:val="00B81872"/>
    <w:rsid w:val="00B81DDD"/>
    <w:rsid w:val="00B82106"/>
    <w:rsid w:val="00B82A25"/>
    <w:rsid w:val="00B83072"/>
    <w:rsid w:val="00B833A1"/>
    <w:rsid w:val="00B83575"/>
    <w:rsid w:val="00B83C74"/>
    <w:rsid w:val="00B84538"/>
    <w:rsid w:val="00B84989"/>
    <w:rsid w:val="00B84FFC"/>
    <w:rsid w:val="00B85C4D"/>
    <w:rsid w:val="00B86488"/>
    <w:rsid w:val="00B86EE1"/>
    <w:rsid w:val="00B8725B"/>
    <w:rsid w:val="00B8727F"/>
    <w:rsid w:val="00B87847"/>
    <w:rsid w:val="00B87EEE"/>
    <w:rsid w:val="00B9044E"/>
    <w:rsid w:val="00B90684"/>
    <w:rsid w:val="00B914B3"/>
    <w:rsid w:val="00B914F9"/>
    <w:rsid w:val="00B917F5"/>
    <w:rsid w:val="00B91911"/>
    <w:rsid w:val="00B91E86"/>
    <w:rsid w:val="00B92B75"/>
    <w:rsid w:val="00B92D5E"/>
    <w:rsid w:val="00B9310E"/>
    <w:rsid w:val="00B9357D"/>
    <w:rsid w:val="00B935F2"/>
    <w:rsid w:val="00B937B4"/>
    <w:rsid w:val="00B93B94"/>
    <w:rsid w:val="00B94125"/>
    <w:rsid w:val="00B946B5"/>
    <w:rsid w:val="00B94C44"/>
    <w:rsid w:val="00B94CF5"/>
    <w:rsid w:val="00B95530"/>
    <w:rsid w:val="00B9562B"/>
    <w:rsid w:val="00B957F9"/>
    <w:rsid w:val="00B9597A"/>
    <w:rsid w:val="00B96296"/>
    <w:rsid w:val="00B97919"/>
    <w:rsid w:val="00B97B10"/>
    <w:rsid w:val="00BA001B"/>
    <w:rsid w:val="00BA11B2"/>
    <w:rsid w:val="00BA1289"/>
    <w:rsid w:val="00BA1508"/>
    <w:rsid w:val="00BA2111"/>
    <w:rsid w:val="00BA311C"/>
    <w:rsid w:val="00BA45B4"/>
    <w:rsid w:val="00BA48E7"/>
    <w:rsid w:val="00BA4BF1"/>
    <w:rsid w:val="00BA4D89"/>
    <w:rsid w:val="00BA54A1"/>
    <w:rsid w:val="00BA55DA"/>
    <w:rsid w:val="00BA5807"/>
    <w:rsid w:val="00BA599C"/>
    <w:rsid w:val="00BA60E7"/>
    <w:rsid w:val="00BA6415"/>
    <w:rsid w:val="00BA70E2"/>
    <w:rsid w:val="00BA714F"/>
    <w:rsid w:val="00BA7340"/>
    <w:rsid w:val="00BA764E"/>
    <w:rsid w:val="00BB0A20"/>
    <w:rsid w:val="00BB0BB8"/>
    <w:rsid w:val="00BB0EFC"/>
    <w:rsid w:val="00BB16F9"/>
    <w:rsid w:val="00BB1C96"/>
    <w:rsid w:val="00BB1FE1"/>
    <w:rsid w:val="00BB2078"/>
    <w:rsid w:val="00BB2BC5"/>
    <w:rsid w:val="00BB2C74"/>
    <w:rsid w:val="00BB302A"/>
    <w:rsid w:val="00BB322B"/>
    <w:rsid w:val="00BB34F4"/>
    <w:rsid w:val="00BB3541"/>
    <w:rsid w:val="00BB400E"/>
    <w:rsid w:val="00BB445F"/>
    <w:rsid w:val="00BB448A"/>
    <w:rsid w:val="00BB471B"/>
    <w:rsid w:val="00BB4DB6"/>
    <w:rsid w:val="00BB50A8"/>
    <w:rsid w:val="00BB5101"/>
    <w:rsid w:val="00BB51F3"/>
    <w:rsid w:val="00BB54EE"/>
    <w:rsid w:val="00BB5839"/>
    <w:rsid w:val="00BB5C8E"/>
    <w:rsid w:val="00BB5F14"/>
    <w:rsid w:val="00BB6062"/>
    <w:rsid w:val="00BB6222"/>
    <w:rsid w:val="00BB6B0F"/>
    <w:rsid w:val="00BB6C98"/>
    <w:rsid w:val="00BB7108"/>
    <w:rsid w:val="00BB726C"/>
    <w:rsid w:val="00BB770F"/>
    <w:rsid w:val="00BB7AA7"/>
    <w:rsid w:val="00BB7B6B"/>
    <w:rsid w:val="00BC08A2"/>
    <w:rsid w:val="00BC13DC"/>
    <w:rsid w:val="00BC1C03"/>
    <w:rsid w:val="00BC1FA4"/>
    <w:rsid w:val="00BC20A8"/>
    <w:rsid w:val="00BC217F"/>
    <w:rsid w:val="00BC2C5E"/>
    <w:rsid w:val="00BC2D97"/>
    <w:rsid w:val="00BC312D"/>
    <w:rsid w:val="00BC3625"/>
    <w:rsid w:val="00BC3C6F"/>
    <w:rsid w:val="00BC3D1D"/>
    <w:rsid w:val="00BC3F82"/>
    <w:rsid w:val="00BC4C82"/>
    <w:rsid w:val="00BC509E"/>
    <w:rsid w:val="00BC5C34"/>
    <w:rsid w:val="00BC5CB1"/>
    <w:rsid w:val="00BC682C"/>
    <w:rsid w:val="00BC6DE6"/>
    <w:rsid w:val="00BC6FE8"/>
    <w:rsid w:val="00BC74C8"/>
    <w:rsid w:val="00BD0109"/>
    <w:rsid w:val="00BD0159"/>
    <w:rsid w:val="00BD071A"/>
    <w:rsid w:val="00BD0B86"/>
    <w:rsid w:val="00BD0BA4"/>
    <w:rsid w:val="00BD1146"/>
    <w:rsid w:val="00BD1333"/>
    <w:rsid w:val="00BD1356"/>
    <w:rsid w:val="00BD16CA"/>
    <w:rsid w:val="00BD17E2"/>
    <w:rsid w:val="00BD1B6B"/>
    <w:rsid w:val="00BD1C99"/>
    <w:rsid w:val="00BD240B"/>
    <w:rsid w:val="00BD25D6"/>
    <w:rsid w:val="00BD31DA"/>
    <w:rsid w:val="00BD3A9F"/>
    <w:rsid w:val="00BD3C6E"/>
    <w:rsid w:val="00BD4AE2"/>
    <w:rsid w:val="00BD4F6D"/>
    <w:rsid w:val="00BD4FE6"/>
    <w:rsid w:val="00BD50E5"/>
    <w:rsid w:val="00BD54B0"/>
    <w:rsid w:val="00BD56EF"/>
    <w:rsid w:val="00BD67E9"/>
    <w:rsid w:val="00BD69EE"/>
    <w:rsid w:val="00BD6D5A"/>
    <w:rsid w:val="00BD6EA1"/>
    <w:rsid w:val="00BD72EA"/>
    <w:rsid w:val="00BD799A"/>
    <w:rsid w:val="00BD7B50"/>
    <w:rsid w:val="00BE00A7"/>
    <w:rsid w:val="00BE00DE"/>
    <w:rsid w:val="00BE0128"/>
    <w:rsid w:val="00BE0784"/>
    <w:rsid w:val="00BE089E"/>
    <w:rsid w:val="00BE0AF9"/>
    <w:rsid w:val="00BE0F79"/>
    <w:rsid w:val="00BE1CF5"/>
    <w:rsid w:val="00BE1D66"/>
    <w:rsid w:val="00BE1E45"/>
    <w:rsid w:val="00BE25BF"/>
    <w:rsid w:val="00BE304E"/>
    <w:rsid w:val="00BE312B"/>
    <w:rsid w:val="00BE345F"/>
    <w:rsid w:val="00BE3565"/>
    <w:rsid w:val="00BE3727"/>
    <w:rsid w:val="00BE38B9"/>
    <w:rsid w:val="00BE3C26"/>
    <w:rsid w:val="00BE3CD1"/>
    <w:rsid w:val="00BE3E3F"/>
    <w:rsid w:val="00BE473C"/>
    <w:rsid w:val="00BE484D"/>
    <w:rsid w:val="00BE622F"/>
    <w:rsid w:val="00BE6ACC"/>
    <w:rsid w:val="00BE6B49"/>
    <w:rsid w:val="00BE713D"/>
    <w:rsid w:val="00BE7642"/>
    <w:rsid w:val="00BE7DE4"/>
    <w:rsid w:val="00BF0D72"/>
    <w:rsid w:val="00BF0E58"/>
    <w:rsid w:val="00BF1397"/>
    <w:rsid w:val="00BF147C"/>
    <w:rsid w:val="00BF1E3C"/>
    <w:rsid w:val="00BF2710"/>
    <w:rsid w:val="00BF2738"/>
    <w:rsid w:val="00BF28C0"/>
    <w:rsid w:val="00BF2A41"/>
    <w:rsid w:val="00BF2B47"/>
    <w:rsid w:val="00BF31B6"/>
    <w:rsid w:val="00BF3E88"/>
    <w:rsid w:val="00BF3FF8"/>
    <w:rsid w:val="00BF4151"/>
    <w:rsid w:val="00BF43AF"/>
    <w:rsid w:val="00BF4F5F"/>
    <w:rsid w:val="00BF5192"/>
    <w:rsid w:val="00BF5EC9"/>
    <w:rsid w:val="00BF5F74"/>
    <w:rsid w:val="00BF6B6A"/>
    <w:rsid w:val="00BF6E2A"/>
    <w:rsid w:val="00BF6F73"/>
    <w:rsid w:val="00BF70FA"/>
    <w:rsid w:val="00BF7272"/>
    <w:rsid w:val="00BF78F3"/>
    <w:rsid w:val="00BF7B54"/>
    <w:rsid w:val="00BF7FF6"/>
    <w:rsid w:val="00C00D67"/>
    <w:rsid w:val="00C00E6D"/>
    <w:rsid w:val="00C01079"/>
    <w:rsid w:val="00C012AA"/>
    <w:rsid w:val="00C0175C"/>
    <w:rsid w:val="00C01CB5"/>
    <w:rsid w:val="00C02077"/>
    <w:rsid w:val="00C021F9"/>
    <w:rsid w:val="00C0265D"/>
    <w:rsid w:val="00C02D6D"/>
    <w:rsid w:val="00C031F5"/>
    <w:rsid w:val="00C03689"/>
    <w:rsid w:val="00C040D1"/>
    <w:rsid w:val="00C04156"/>
    <w:rsid w:val="00C042C5"/>
    <w:rsid w:val="00C047C7"/>
    <w:rsid w:val="00C04EB1"/>
    <w:rsid w:val="00C05E5C"/>
    <w:rsid w:val="00C0619D"/>
    <w:rsid w:val="00C068AE"/>
    <w:rsid w:val="00C0696D"/>
    <w:rsid w:val="00C06ADF"/>
    <w:rsid w:val="00C06D56"/>
    <w:rsid w:val="00C06DCE"/>
    <w:rsid w:val="00C0745C"/>
    <w:rsid w:val="00C074C0"/>
    <w:rsid w:val="00C0755F"/>
    <w:rsid w:val="00C07E53"/>
    <w:rsid w:val="00C10045"/>
    <w:rsid w:val="00C1136F"/>
    <w:rsid w:val="00C12220"/>
    <w:rsid w:val="00C12273"/>
    <w:rsid w:val="00C12451"/>
    <w:rsid w:val="00C12687"/>
    <w:rsid w:val="00C12832"/>
    <w:rsid w:val="00C12C3B"/>
    <w:rsid w:val="00C12CDF"/>
    <w:rsid w:val="00C12D7B"/>
    <w:rsid w:val="00C12EFE"/>
    <w:rsid w:val="00C13604"/>
    <w:rsid w:val="00C1372A"/>
    <w:rsid w:val="00C13C63"/>
    <w:rsid w:val="00C14687"/>
    <w:rsid w:val="00C146E4"/>
    <w:rsid w:val="00C14C6A"/>
    <w:rsid w:val="00C15B23"/>
    <w:rsid w:val="00C15D3B"/>
    <w:rsid w:val="00C1612C"/>
    <w:rsid w:val="00C161F0"/>
    <w:rsid w:val="00C164D2"/>
    <w:rsid w:val="00C1668F"/>
    <w:rsid w:val="00C166C5"/>
    <w:rsid w:val="00C16D63"/>
    <w:rsid w:val="00C17A47"/>
    <w:rsid w:val="00C17A87"/>
    <w:rsid w:val="00C17C66"/>
    <w:rsid w:val="00C17E33"/>
    <w:rsid w:val="00C20C5F"/>
    <w:rsid w:val="00C21743"/>
    <w:rsid w:val="00C21D61"/>
    <w:rsid w:val="00C21F3F"/>
    <w:rsid w:val="00C22C22"/>
    <w:rsid w:val="00C22DAA"/>
    <w:rsid w:val="00C232BF"/>
    <w:rsid w:val="00C23C57"/>
    <w:rsid w:val="00C23CF5"/>
    <w:rsid w:val="00C23F8E"/>
    <w:rsid w:val="00C24005"/>
    <w:rsid w:val="00C247B0"/>
    <w:rsid w:val="00C24DCC"/>
    <w:rsid w:val="00C25962"/>
    <w:rsid w:val="00C2596D"/>
    <w:rsid w:val="00C25A03"/>
    <w:rsid w:val="00C2604F"/>
    <w:rsid w:val="00C27AF2"/>
    <w:rsid w:val="00C27E3D"/>
    <w:rsid w:val="00C27F66"/>
    <w:rsid w:val="00C31083"/>
    <w:rsid w:val="00C311F1"/>
    <w:rsid w:val="00C31247"/>
    <w:rsid w:val="00C3149E"/>
    <w:rsid w:val="00C316AD"/>
    <w:rsid w:val="00C318D2"/>
    <w:rsid w:val="00C31B11"/>
    <w:rsid w:val="00C32961"/>
    <w:rsid w:val="00C32A65"/>
    <w:rsid w:val="00C32D4B"/>
    <w:rsid w:val="00C32E53"/>
    <w:rsid w:val="00C33011"/>
    <w:rsid w:val="00C33736"/>
    <w:rsid w:val="00C338E4"/>
    <w:rsid w:val="00C33F35"/>
    <w:rsid w:val="00C34F62"/>
    <w:rsid w:val="00C35354"/>
    <w:rsid w:val="00C359C5"/>
    <w:rsid w:val="00C35D30"/>
    <w:rsid w:val="00C35D6D"/>
    <w:rsid w:val="00C35F7D"/>
    <w:rsid w:val="00C3651B"/>
    <w:rsid w:val="00C36A91"/>
    <w:rsid w:val="00C3789C"/>
    <w:rsid w:val="00C401F3"/>
    <w:rsid w:val="00C40532"/>
    <w:rsid w:val="00C40562"/>
    <w:rsid w:val="00C406F4"/>
    <w:rsid w:val="00C40D9D"/>
    <w:rsid w:val="00C40DAF"/>
    <w:rsid w:val="00C40E19"/>
    <w:rsid w:val="00C40F6A"/>
    <w:rsid w:val="00C423C1"/>
    <w:rsid w:val="00C435C0"/>
    <w:rsid w:val="00C43D17"/>
    <w:rsid w:val="00C440DF"/>
    <w:rsid w:val="00C44230"/>
    <w:rsid w:val="00C44612"/>
    <w:rsid w:val="00C44684"/>
    <w:rsid w:val="00C449F5"/>
    <w:rsid w:val="00C45FF3"/>
    <w:rsid w:val="00C4601C"/>
    <w:rsid w:val="00C46747"/>
    <w:rsid w:val="00C47627"/>
    <w:rsid w:val="00C47D70"/>
    <w:rsid w:val="00C510AF"/>
    <w:rsid w:val="00C51F44"/>
    <w:rsid w:val="00C5310F"/>
    <w:rsid w:val="00C531AF"/>
    <w:rsid w:val="00C5379D"/>
    <w:rsid w:val="00C53972"/>
    <w:rsid w:val="00C53997"/>
    <w:rsid w:val="00C5426F"/>
    <w:rsid w:val="00C542C0"/>
    <w:rsid w:val="00C54741"/>
    <w:rsid w:val="00C54EB6"/>
    <w:rsid w:val="00C551C9"/>
    <w:rsid w:val="00C5622E"/>
    <w:rsid w:val="00C5694E"/>
    <w:rsid w:val="00C56BEB"/>
    <w:rsid w:val="00C56C47"/>
    <w:rsid w:val="00C573A8"/>
    <w:rsid w:val="00C57CC3"/>
    <w:rsid w:val="00C6038B"/>
    <w:rsid w:val="00C60BD7"/>
    <w:rsid w:val="00C61152"/>
    <w:rsid w:val="00C61544"/>
    <w:rsid w:val="00C61F8C"/>
    <w:rsid w:val="00C61FDC"/>
    <w:rsid w:val="00C623D1"/>
    <w:rsid w:val="00C625E8"/>
    <w:rsid w:val="00C62A7B"/>
    <w:rsid w:val="00C62FD1"/>
    <w:rsid w:val="00C6306D"/>
    <w:rsid w:val="00C6331E"/>
    <w:rsid w:val="00C63B46"/>
    <w:rsid w:val="00C63C15"/>
    <w:rsid w:val="00C6444F"/>
    <w:rsid w:val="00C64A0A"/>
    <w:rsid w:val="00C65562"/>
    <w:rsid w:val="00C65C12"/>
    <w:rsid w:val="00C66622"/>
    <w:rsid w:val="00C66EA2"/>
    <w:rsid w:val="00C67352"/>
    <w:rsid w:val="00C6755F"/>
    <w:rsid w:val="00C67970"/>
    <w:rsid w:val="00C67BBE"/>
    <w:rsid w:val="00C67E84"/>
    <w:rsid w:val="00C700E1"/>
    <w:rsid w:val="00C70146"/>
    <w:rsid w:val="00C70F52"/>
    <w:rsid w:val="00C70FFA"/>
    <w:rsid w:val="00C71486"/>
    <w:rsid w:val="00C71907"/>
    <w:rsid w:val="00C72C80"/>
    <w:rsid w:val="00C731E2"/>
    <w:rsid w:val="00C73341"/>
    <w:rsid w:val="00C73B6C"/>
    <w:rsid w:val="00C743AB"/>
    <w:rsid w:val="00C744B9"/>
    <w:rsid w:val="00C74D36"/>
    <w:rsid w:val="00C754B6"/>
    <w:rsid w:val="00C75549"/>
    <w:rsid w:val="00C756EB"/>
    <w:rsid w:val="00C75998"/>
    <w:rsid w:val="00C76061"/>
    <w:rsid w:val="00C7707C"/>
    <w:rsid w:val="00C7767C"/>
    <w:rsid w:val="00C77A54"/>
    <w:rsid w:val="00C77BC3"/>
    <w:rsid w:val="00C77F0E"/>
    <w:rsid w:val="00C800CE"/>
    <w:rsid w:val="00C805D6"/>
    <w:rsid w:val="00C806BE"/>
    <w:rsid w:val="00C80EA0"/>
    <w:rsid w:val="00C81019"/>
    <w:rsid w:val="00C8205E"/>
    <w:rsid w:val="00C82588"/>
    <w:rsid w:val="00C828F4"/>
    <w:rsid w:val="00C82918"/>
    <w:rsid w:val="00C82986"/>
    <w:rsid w:val="00C8330A"/>
    <w:rsid w:val="00C846B6"/>
    <w:rsid w:val="00C848B4"/>
    <w:rsid w:val="00C848CF"/>
    <w:rsid w:val="00C84A15"/>
    <w:rsid w:val="00C855A8"/>
    <w:rsid w:val="00C8569E"/>
    <w:rsid w:val="00C85CB4"/>
    <w:rsid w:val="00C85DC1"/>
    <w:rsid w:val="00C85EFA"/>
    <w:rsid w:val="00C863C8"/>
    <w:rsid w:val="00C865B5"/>
    <w:rsid w:val="00C86742"/>
    <w:rsid w:val="00C87201"/>
    <w:rsid w:val="00C877FA"/>
    <w:rsid w:val="00C87FCA"/>
    <w:rsid w:val="00C90404"/>
    <w:rsid w:val="00C904D5"/>
    <w:rsid w:val="00C90D0E"/>
    <w:rsid w:val="00C90D7A"/>
    <w:rsid w:val="00C90EE5"/>
    <w:rsid w:val="00C91181"/>
    <w:rsid w:val="00C918B3"/>
    <w:rsid w:val="00C919D3"/>
    <w:rsid w:val="00C91CF3"/>
    <w:rsid w:val="00C91E6C"/>
    <w:rsid w:val="00C92292"/>
    <w:rsid w:val="00C9246D"/>
    <w:rsid w:val="00C92822"/>
    <w:rsid w:val="00C92A04"/>
    <w:rsid w:val="00C92AF5"/>
    <w:rsid w:val="00C92B60"/>
    <w:rsid w:val="00C93572"/>
    <w:rsid w:val="00C93593"/>
    <w:rsid w:val="00C93B13"/>
    <w:rsid w:val="00C93BD5"/>
    <w:rsid w:val="00C9471A"/>
    <w:rsid w:val="00C95084"/>
    <w:rsid w:val="00C951C1"/>
    <w:rsid w:val="00C9562C"/>
    <w:rsid w:val="00C95742"/>
    <w:rsid w:val="00C958B7"/>
    <w:rsid w:val="00C95F09"/>
    <w:rsid w:val="00C96D78"/>
    <w:rsid w:val="00C97102"/>
    <w:rsid w:val="00C976D3"/>
    <w:rsid w:val="00CA1498"/>
    <w:rsid w:val="00CA17EC"/>
    <w:rsid w:val="00CA1DE2"/>
    <w:rsid w:val="00CA1E74"/>
    <w:rsid w:val="00CA3006"/>
    <w:rsid w:val="00CA357C"/>
    <w:rsid w:val="00CA3780"/>
    <w:rsid w:val="00CA3A1C"/>
    <w:rsid w:val="00CA3C90"/>
    <w:rsid w:val="00CA3D17"/>
    <w:rsid w:val="00CA3D1A"/>
    <w:rsid w:val="00CA415E"/>
    <w:rsid w:val="00CA4861"/>
    <w:rsid w:val="00CA5587"/>
    <w:rsid w:val="00CA577D"/>
    <w:rsid w:val="00CA5D60"/>
    <w:rsid w:val="00CA6906"/>
    <w:rsid w:val="00CA7A81"/>
    <w:rsid w:val="00CA7AE2"/>
    <w:rsid w:val="00CB069F"/>
    <w:rsid w:val="00CB120D"/>
    <w:rsid w:val="00CB121A"/>
    <w:rsid w:val="00CB1690"/>
    <w:rsid w:val="00CB1B4C"/>
    <w:rsid w:val="00CB1B82"/>
    <w:rsid w:val="00CB1F55"/>
    <w:rsid w:val="00CB2344"/>
    <w:rsid w:val="00CB23EF"/>
    <w:rsid w:val="00CB2BF4"/>
    <w:rsid w:val="00CB2BF9"/>
    <w:rsid w:val="00CB323A"/>
    <w:rsid w:val="00CB441D"/>
    <w:rsid w:val="00CB4A60"/>
    <w:rsid w:val="00CB4C1B"/>
    <w:rsid w:val="00CB50D5"/>
    <w:rsid w:val="00CB5547"/>
    <w:rsid w:val="00CB563F"/>
    <w:rsid w:val="00CB5739"/>
    <w:rsid w:val="00CB6628"/>
    <w:rsid w:val="00CB6A92"/>
    <w:rsid w:val="00CB7353"/>
    <w:rsid w:val="00CB770F"/>
    <w:rsid w:val="00CC002B"/>
    <w:rsid w:val="00CC0607"/>
    <w:rsid w:val="00CC08A6"/>
    <w:rsid w:val="00CC09D3"/>
    <w:rsid w:val="00CC0ACC"/>
    <w:rsid w:val="00CC0B56"/>
    <w:rsid w:val="00CC0BF9"/>
    <w:rsid w:val="00CC1329"/>
    <w:rsid w:val="00CC16C8"/>
    <w:rsid w:val="00CC199A"/>
    <w:rsid w:val="00CC1A3B"/>
    <w:rsid w:val="00CC20F5"/>
    <w:rsid w:val="00CC27D2"/>
    <w:rsid w:val="00CC2A32"/>
    <w:rsid w:val="00CC390A"/>
    <w:rsid w:val="00CC3B37"/>
    <w:rsid w:val="00CC3DA5"/>
    <w:rsid w:val="00CC494B"/>
    <w:rsid w:val="00CC4BC2"/>
    <w:rsid w:val="00CC510D"/>
    <w:rsid w:val="00CC518D"/>
    <w:rsid w:val="00CC5495"/>
    <w:rsid w:val="00CC5759"/>
    <w:rsid w:val="00CC5BB2"/>
    <w:rsid w:val="00CC697D"/>
    <w:rsid w:val="00CC7199"/>
    <w:rsid w:val="00CC7EF2"/>
    <w:rsid w:val="00CD012C"/>
    <w:rsid w:val="00CD05B9"/>
    <w:rsid w:val="00CD1047"/>
    <w:rsid w:val="00CD1109"/>
    <w:rsid w:val="00CD129D"/>
    <w:rsid w:val="00CD262A"/>
    <w:rsid w:val="00CD2E01"/>
    <w:rsid w:val="00CD3272"/>
    <w:rsid w:val="00CD3503"/>
    <w:rsid w:val="00CD3590"/>
    <w:rsid w:val="00CD3689"/>
    <w:rsid w:val="00CD451F"/>
    <w:rsid w:val="00CD463C"/>
    <w:rsid w:val="00CD4EE0"/>
    <w:rsid w:val="00CD509A"/>
    <w:rsid w:val="00CD566D"/>
    <w:rsid w:val="00CD66A4"/>
    <w:rsid w:val="00CD714D"/>
    <w:rsid w:val="00CD7F82"/>
    <w:rsid w:val="00CE00CF"/>
    <w:rsid w:val="00CE0373"/>
    <w:rsid w:val="00CE119B"/>
    <w:rsid w:val="00CE1279"/>
    <w:rsid w:val="00CE1346"/>
    <w:rsid w:val="00CE1886"/>
    <w:rsid w:val="00CE1A68"/>
    <w:rsid w:val="00CE1B2A"/>
    <w:rsid w:val="00CE29CE"/>
    <w:rsid w:val="00CE2A9F"/>
    <w:rsid w:val="00CE3004"/>
    <w:rsid w:val="00CE301E"/>
    <w:rsid w:val="00CE303B"/>
    <w:rsid w:val="00CE36E3"/>
    <w:rsid w:val="00CE374B"/>
    <w:rsid w:val="00CE3E15"/>
    <w:rsid w:val="00CE4941"/>
    <w:rsid w:val="00CE5046"/>
    <w:rsid w:val="00CE51BD"/>
    <w:rsid w:val="00CE54FE"/>
    <w:rsid w:val="00CE555F"/>
    <w:rsid w:val="00CE55E9"/>
    <w:rsid w:val="00CE6164"/>
    <w:rsid w:val="00CE6540"/>
    <w:rsid w:val="00CE6935"/>
    <w:rsid w:val="00CE7015"/>
    <w:rsid w:val="00CE7DFB"/>
    <w:rsid w:val="00CE7DFE"/>
    <w:rsid w:val="00CE7EDC"/>
    <w:rsid w:val="00CE7FF5"/>
    <w:rsid w:val="00CF0014"/>
    <w:rsid w:val="00CF0370"/>
    <w:rsid w:val="00CF0388"/>
    <w:rsid w:val="00CF040B"/>
    <w:rsid w:val="00CF0538"/>
    <w:rsid w:val="00CF06B2"/>
    <w:rsid w:val="00CF08B6"/>
    <w:rsid w:val="00CF1A26"/>
    <w:rsid w:val="00CF2292"/>
    <w:rsid w:val="00CF2676"/>
    <w:rsid w:val="00CF2B77"/>
    <w:rsid w:val="00CF3214"/>
    <w:rsid w:val="00CF32A4"/>
    <w:rsid w:val="00CF3C5D"/>
    <w:rsid w:val="00CF4024"/>
    <w:rsid w:val="00CF46F8"/>
    <w:rsid w:val="00CF5758"/>
    <w:rsid w:val="00CF5F8D"/>
    <w:rsid w:val="00CF5FA7"/>
    <w:rsid w:val="00CF61A9"/>
    <w:rsid w:val="00CF6504"/>
    <w:rsid w:val="00CF6ACD"/>
    <w:rsid w:val="00CF6B3C"/>
    <w:rsid w:val="00CF6F95"/>
    <w:rsid w:val="00CF773C"/>
    <w:rsid w:val="00CF77C2"/>
    <w:rsid w:val="00CF7C2D"/>
    <w:rsid w:val="00D0036F"/>
    <w:rsid w:val="00D0075D"/>
    <w:rsid w:val="00D00A04"/>
    <w:rsid w:val="00D00BD5"/>
    <w:rsid w:val="00D00FB8"/>
    <w:rsid w:val="00D01073"/>
    <w:rsid w:val="00D014BC"/>
    <w:rsid w:val="00D01777"/>
    <w:rsid w:val="00D017BB"/>
    <w:rsid w:val="00D02668"/>
    <w:rsid w:val="00D02880"/>
    <w:rsid w:val="00D02A7B"/>
    <w:rsid w:val="00D031A0"/>
    <w:rsid w:val="00D032C0"/>
    <w:rsid w:val="00D03830"/>
    <w:rsid w:val="00D03996"/>
    <w:rsid w:val="00D03F84"/>
    <w:rsid w:val="00D04336"/>
    <w:rsid w:val="00D044BB"/>
    <w:rsid w:val="00D04B64"/>
    <w:rsid w:val="00D0545B"/>
    <w:rsid w:val="00D05522"/>
    <w:rsid w:val="00D0592E"/>
    <w:rsid w:val="00D05A39"/>
    <w:rsid w:val="00D05D73"/>
    <w:rsid w:val="00D05DA5"/>
    <w:rsid w:val="00D0639D"/>
    <w:rsid w:val="00D07082"/>
    <w:rsid w:val="00D07992"/>
    <w:rsid w:val="00D07C28"/>
    <w:rsid w:val="00D07E37"/>
    <w:rsid w:val="00D1027D"/>
    <w:rsid w:val="00D10918"/>
    <w:rsid w:val="00D11022"/>
    <w:rsid w:val="00D11277"/>
    <w:rsid w:val="00D1175A"/>
    <w:rsid w:val="00D118F6"/>
    <w:rsid w:val="00D11C96"/>
    <w:rsid w:val="00D11CF4"/>
    <w:rsid w:val="00D12509"/>
    <w:rsid w:val="00D127BA"/>
    <w:rsid w:val="00D128AD"/>
    <w:rsid w:val="00D12D27"/>
    <w:rsid w:val="00D12EEE"/>
    <w:rsid w:val="00D13260"/>
    <w:rsid w:val="00D132C5"/>
    <w:rsid w:val="00D1357D"/>
    <w:rsid w:val="00D13991"/>
    <w:rsid w:val="00D139EC"/>
    <w:rsid w:val="00D14212"/>
    <w:rsid w:val="00D14713"/>
    <w:rsid w:val="00D14990"/>
    <w:rsid w:val="00D14C80"/>
    <w:rsid w:val="00D14EB4"/>
    <w:rsid w:val="00D14FE1"/>
    <w:rsid w:val="00D15000"/>
    <w:rsid w:val="00D1502D"/>
    <w:rsid w:val="00D15225"/>
    <w:rsid w:val="00D15670"/>
    <w:rsid w:val="00D15AEA"/>
    <w:rsid w:val="00D15B06"/>
    <w:rsid w:val="00D16B6D"/>
    <w:rsid w:val="00D16BA1"/>
    <w:rsid w:val="00D16D08"/>
    <w:rsid w:val="00D16E3A"/>
    <w:rsid w:val="00D176AD"/>
    <w:rsid w:val="00D179E2"/>
    <w:rsid w:val="00D17F56"/>
    <w:rsid w:val="00D201B9"/>
    <w:rsid w:val="00D20CAB"/>
    <w:rsid w:val="00D20D83"/>
    <w:rsid w:val="00D2138F"/>
    <w:rsid w:val="00D21B72"/>
    <w:rsid w:val="00D21DBC"/>
    <w:rsid w:val="00D2229C"/>
    <w:rsid w:val="00D22B3E"/>
    <w:rsid w:val="00D235E6"/>
    <w:rsid w:val="00D237AB"/>
    <w:rsid w:val="00D237EE"/>
    <w:rsid w:val="00D23997"/>
    <w:rsid w:val="00D23A8C"/>
    <w:rsid w:val="00D23D12"/>
    <w:rsid w:val="00D24039"/>
    <w:rsid w:val="00D24A42"/>
    <w:rsid w:val="00D24E63"/>
    <w:rsid w:val="00D24E8E"/>
    <w:rsid w:val="00D25023"/>
    <w:rsid w:val="00D25394"/>
    <w:rsid w:val="00D25D27"/>
    <w:rsid w:val="00D26109"/>
    <w:rsid w:val="00D2638D"/>
    <w:rsid w:val="00D2644F"/>
    <w:rsid w:val="00D26BEE"/>
    <w:rsid w:val="00D26E37"/>
    <w:rsid w:val="00D272A5"/>
    <w:rsid w:val="00D27781"/>
    <w:rsid w:val="00D27ADA"/>
    <w:rsid w:val="00D27AE5"/>
    <w:rsid w:val="00D27D02"/>
    <w:rsid w:val="00D32193"/>
    <w:rsid w:val="00D322A5"/>
    <w:rsid w:val="00D32645"/>
    <w:rsid w:val="00D33874"/>
    <w:rsid w:val="00D33BB7"/>
    <w:rsid w:val="00D33C2A"/>
    <w:rsid w:val="00D33CCA"/>
    <w:rsid w:val="00D340C4"/>
    <w:rsid w:val="00D3411D"/>
    <w:rsid w:val="00D3526F"/>
    <w:rsid w:val="00D352E7"/>
    <w:rsid w:val="00D356C4"/>
    <w:rsid w:val="00D35894"/>
    <w:rsid w:val="00D3603B"/>
    <w:rsid w:val="00D3676C"/>
    <w:rsid w:val="00D367D3"/>
    <w:rsid w:val="00D36929"/>
    <w:rsid w:val="00D36D48"/>
    <w:rsid w:val="00D376A8"/>
    <w:rsid w:val="00D37813"/>
    <w:rsid w:val="00D3799C"/>
    <w:rsid w:val="00D37CC8"/>
    <w:rsid w:val="00D37D1F"/>
    <w:rsid w:val="00D37DEC"/>
    <w:rsid w:val="00D40176"/>
    <w:rsid w:val="00D40334"/>
    <w:rsid w:val="00D40406"/>
    <w:rsid w:val="00D40B5D"/>
    <w:rsid w:val="00D40D6B"/>
    <w:rsid w:val="00D413EC"/>
    <w:rsid w:val="00D4145C"/>
    <w:rsid w:val="00D41A18"/>
    <w:rsid w:val="00D41E80"/>
    <w:rsid w:val="00D425B1"/>
    <w:rsid w:val="00D42D0C"/>
    <w:rsid w:val="00D43C8B"/>
    <w:rsid w:val="00D441B3"/>
    <w:rsid w:val="00D44A5C"/>
    <w:rsid w:val="00D45508"/>
    <w:rsid w:val="00D45523"/>
    <w:rsid w:val="00D45C81"/>
    <w:rsid w:val="00D462C0"/>
    <w:rsid w:val="00D46533"/>
    <w:rsid w:val="00D4664A"/>
    <w:rsid w:val="00D466D2"/>
    <w:rsid w:val="00D466DC"/>
    <w:rsid w:val="00D46937"/>
    <w:rsid w:val="00D46E9F"/>
    <w:rsid w:val="00D476A6"/>
    <w:rsid w:val="00D505F9"/>
    <w:rsid w:val="00D50822"/>
    <w:rsid w:val="00D50E9E"/>
    <w:rsid w:val="00D517E6"/>
    <w:rsid w:val="00D51AD6"/>
    <w:rsid w:val="00D51E91"/>
    <w:rsid w:val="00D52025"/>
    <w:rsid w:val="00D5204C"/>
    <w:rsid w:val="00D52162"/>
    <w:rsid w:val="00D52262"/>
    <w:rsid w:val="00D52E0D"/>
    <w:rsid w:val="00D539C2"/>
    <w:rsid w:val="00D53AF2"/>
    <w:rsid w:val="00D53DB5"/>
    <w:rsid w:val="00D53E49"/>
    <w:rsid w:val="00D5409F"/>
    <w:rsid w:val="00D549BD"/>
    <w:rsid w:val="00D54A74"/>
    <w:rsid w:val="00D54C6C"/>
    <w:rsid w:val="00D5516B"/>
    <w:rsid w:val="00D556AA"/>
    <w:rsid w:val="00D55909"/>
    <w:rsid w:val="00D559C8"/>
    <w:rsid w:val="00D56799"/>
    <w:rsid w:val="00D5702E"/>
    <w:rsid w:val="00D574CC"/>
    <w:rsid w:val="00D579CE"/>
    <w:rsid w:val="00D57D52"/>
    <w:rsid w:val="00D60370"/>
    <w:rsid w:val="00D60824"/>
    <w:rsid w:val="00D608A3"/>
    <w:rsid w:val="00D60ABA"/>
    <w:rsid w:val="00D6145B"/>
    <w:rsid w:val="00D61C1C"/>
    <w:rsid w:val="00D627AC"/>
    <w:rsid w:val="00D62A8B"/>
    <w:rsid w:val="00D62B99"/>
    <w:rsid w:val="00D6439F"/>
    <w:rsid w:val="00D645E1"/>
    <w:rsid w:val="00D64BA9"/>
    <w:rsid w:val="00D64BDB"/>
    <w:rsid w:val="00D64E60"/>
    <w:rsid w:val="00D65EFD"/>
    <w:rsid w:val="00D663B4"/>
    <w:rsid w:val="00D66992"/>
    <w:rsid w:val="00D66D7C"/>
    <w:rsid w:val="00D66DB7"/>
    <w:rsid w:val="00D66E57"/>
    <w:rsid w:val="00D67408"/>
    <w:rsid w:val="00D674F6"/>
    <w:rsid w:val="00D7082E"/>
    <w:rsid w:val="00D70AE5"/>
    <w:rsid w:val="00D70D77"/>
    <w:rsid w:val="00D71C94"/>
    <w:rsid w:val="00D72587"/>
    <w:rsid w:val="00D727E1"/>
    <w:rsid w:val="00D72BD2"/>
    <w:rsid w:val="00D72E36"/>
    <w:rsid w:val="00D72EFF"/>
    <w:rsid w:val="00D73B13"/>
    <w:rsid w:val="00D73B8F"/>
    <w:rsid w:val="00D73DB4"/>
    <w:rsid w:val="00D74166"/>
    <w:rsid w:val="00D74562"/>
    <w:rsid w:val="00D74735"/>
    <w:rsid w:val="00D74BDC"/>
    <w:rsid w:val="00D74C7A"/>
    <w:rsid w:val="00D75582"/>
    <w:rsid w:val="00D756F7"/>
    <w:rsid w:val="00D75B28"/>
    <w:rsid w:val="00D75BC7"/>
    <w:rsid w:val="00D75E96"/>
    <w:rsid w:val="00D75F60"/>
    <w:rsid w:val="00D760C7"/>
    <w:rsid w:val="00D7647D"/>
    <w:rsid w:val="00D7668C"/>
    <w:rsid w:val="00D76CE9"/>
    <w:rsid w:val="00D77AB8"/>
    <w:rsid w:val="00D8016A"/>
    <w:rsid w:val="00D801A6"/>
    <w:rsid w:val="00D81715"/>
    <w:rsid w:val="00D82688"/>
    <w:rsid w:val="00D8294E"/>
    <w:rsid w:val="00D8356A"/>
    <w:rsid w:val="00D8377F"/>
    <w:rsid w:val="00D8433A"/>
    <w:rsid w:val="00D847AA"/>
    <w:rsid w:val="00D850CE"/>
    <w:rsid w:val="00D856E0"/>
    <w:rsid w:val="00D85722"/>
    <w:rsid w:val="00D8584E"/>
    <w:rsid w:val="00D86055"/>
    <w:rsid w:val="00D86460"/>
    <w:rsid w:val="00D86538"/>
    <w:rsid w:val="00D86B1A"/>
    <w:rsid w:val="00D86D8D"/>
    <w:rsid w:val="00D86E52"/>
    <w:rsid w:val="00D87545"/>
    <w:rsid w:val="00D87649"/>
    <w:rsid w:val="00D87728"/>
    <w:rsid w:val="00D9013A"/>
    <w:rsid w:val="00D90C83"/>
    <w:rsid w:val="00D90C94"/>
    <w:rsid w:val="00D910AC"/>
    <w:rsid w:val="00D91137"/>
    <w:rsid w:val="00D914E2"/>
    <w:rsid w:val="00D921A8"/>
    <w:rsid w:val="00D921B8"/>
    <w:rsid w:val="00D921D0"/>
    <w:rsid w:val="00D92609"/>
    <w:rsid w:val="00D927B8"/>
    <w:rsid w:val="00D9281A"/>
    <w:rsid w:val="00D92B21"/>
    <w:rsid w:val="00D92C00"/>
    <w:rsid w:val="00D92E34"/>
    <w:rsid w:val="00D92F24"/>
    <w:rsid w:val="00D936FF"/>
    <w:rsid w:val="00D93925"/>
    <w:rsid w:val="00D93C1F"/>
    <w:rsid w:val="00D94475"/>
    <w:rsid w:val="00D94490"/>
    <w:rsid w:val="00D944EC"/>
    <w:rsid w:val="00D946EE"/>
    <w:rsid w:val="00D94A20"/>
    <w:rsid w:val="00D94D13"/>
    <w:rsid w:val="00D94FD2"/>
    <w:rsid w:val="00D959F3"/>
    <w:rsid w:val="00D95DF5"/>
    <w:rsid w:val="00D9628D"/>
    <w:rsid w:val="00D96999"/>
    <w:rsid w:val="00D96B11"/>
    <w:rsid w:val="00D9733B"/>
    <w:rsid w:val="00D974AA"/>
    <w:rsid w:val="00D97809"/>
    <w:rsid w:val="00D97B71"/>
    <w:rsid w:val="00D97B8F"/>
    <w:rsid w:val="00DA01ED"/>
    <w:rsid w:val="00DA082A"/>
    <w:rsid w:val="00DA119A"/>
    <w:rsid w:val="00DA1765"/>
    <w:rsid w:val="00DA1772"/>
    <w:rsid w:val="00DA1911"/>
    <w:rsid w:val="00DA203E"/>
    <w:rsid w:val="00DA20B7"/>
    <w:rsid w:val="00DA2320"/>
    <w:rsid w:val="00DA24A2"/>
    <w:rsid w:val="00DA26D8"/>
    <w:rsid w:val="00DA2D34"/>
    <w:rsid w:val="00DA36BB"/>
    <w:rsid w:val="00DA40EC"/>
    <w:rsid w:val="00DA46A7"/>
    <w:rsid w:val="00DA5A0C"/>
    <w:rsid w:val="00DA6071"/>
    <w:rsid w:val="00DA64E4"/>
    <w:rsid w:val="00DA66E8"/>
    <w:rsid w:val="00DA6CA9"/>
    <w:rsid w:val="00DA6F95"/>
    <w:rsid w:val="00DA6FE7"/>
    <w:rsid w:val="00DA76DE"/>
    <w:rsid w:val="00DA7774"/>
    <w:rsid w:val="00DA7B33"/>
    <w:rsid w:val="00DA7D29"/>
    <w:rsid w:val="00DA7F79"/>
    <w:rsid w:val="00DB0E72"/>
    <w:rsid w:val="00DB10C4"/>
    <w:rsid w:val="00DB1445"/>
    <w:rsid w:val="00DB1ABB"/>
    <w:rsid w:val="00DB1E6F"/>
    <w:rsid w:val="00DB21E7"/>
    <w:rsid w:val="00DB28AD"/>
    <w:rsid w:val="00DB28E4"/>
    <w:rsid w:val="00DB2C83"/>
    <w:rsid w:val="00DB2D9F"/>
    <w:rsid w:val="00DB36F2"/>
    <w:rsid w:val="00DB4443"/>
    <w:rsid w:val="00DB4982"/>
    <w:rsid w:val="00DB4EA0"/>
    <w:rsid w:val="00DB58EE"/>
    <w:rsid w:val="00DB5D27"/>
    <w:rsid w:val="00DB65D9"/>
    <w:rsid w:val="00DB67AA"/>
    <w:rsid w:val="00DB6996"/>
    <w:rsid w:val="00DB6DB0"/>
    <w:rsid w:val="00DB727F"/>
    <w:rsid w:val="00DB779A"/>
    <w:rsid w:val="00DB7B48"/>
    <w:rsid w:val="00DB7BCE"/>
    <w:rsid w:val="00DB7CE1"/>
    <w:rsid w:val="00DC08BA"/>
    <w:rsid w:val="00DC0C87"/>
    <w:rsid w:val="00DC0E87"/>
    <w:rsid w:val="00DC1193"/>
    <w:rsid w:val="00DC127A"/>
    <w:rsid w:val="00DC134C"/>
    <w:rsid w:val="00DC1575"/>
    <w:rsid w:val="00DC18CD"/>
    <w:rsid w:val="00DC1997"/>
    <w:rsid w:val="00DC1C1A"/>
    <w:rsid w:val="00DC1CFE"/>
    <w:rsid w:val="00DC1E58"/>
    <w:rsid w:val="00DC2398"/>
    <w:rsid w:val="00DC2968"/>
    <w:rsid w:val="00DC3140"/>
    <w:rsid w:val="00DC35D9"/>
    <w:rsid w:val="00DC3F8A"/>
    <w:rsid w:val="00DC4264"/>
    <w:rsid w:val="00DC4E91"/>
    <w:rsid w:val="00DC506E"/>
    <w:rsid w:val="00DC50D7"/>
    <w:rsid w:val="00DC559D"/>
    <w:rsid w:val="00DC5639"/>
    <w:rsid w:val="00DC5E27"/>
    <w:rsid w:val="00DC6191"/>
    <w:rsid w:val="00DC661D"/>
    <w:rsid w:val="00DC6C76"/>
    <w:rsid w:val="00DC6CFC"/>
    <w:rsid w:val="00DC6F9A"/>
    <w:rsid w:val="00DC71A8"/>
    <w:rsid w:val="00DC73F0"/>
    <w:rsid w:val="00DC75BC"/>
    <w:rsid w:val="00DC7CF0"/>
    <w:rsid w:val="00DC7D95"/>
    <w:rsid w:val="00DC7E55"/>
    <w:rsid w:val="00DD0EC0"/>
    <w:rsid w:val="00DD19B2"/>
    <w:rsid w:val="00DD2019"/>
    <w:rsid w:val="00DD2865"/>
    <w:rsid w:val="00DD2C0E"/>
    <w:rsid w:val="00DD322E"/>
    <w:rsid w:val="00DD3871"/>
    <w:rsid w:val="00DD435E"/>
    <w:rsid w:val="00DD47E3"/>
    <w:rsid w:val="00DD4909"/>
    <w:rsid w:val="00DD4C2B"/>
    <w:rsid w:val="00DD6333"/>
    <w:rsid w:val="00DD650F"/>
    <w:rsid w:val="00DD653B"/>
    <w:rsid w:val="00DD655B"/>
    <w:rsid w:val="00DD6EF6"/>
    <w:rsid w:val="00DD74BA"/>
    <w:rsid w:val="00DD7F85"/>
    <w:rsid w:val="00DE03F7"/>
    <w:rsid w:val="00DE0B0B"/>
    <w:rsid w:val="00DE0E9E"/>
    <w:rsid w:val="00DE11A8"/>
    <w:rsid w:val="00DE1751"/>
    <w:rsid w:val="00DE1978"/>
    <w:rsid w:val="00DE2373"/>
    <w:rsid w:val="00DE23AF"/>
    <w:rsid w:val="00DE28C5"/>
    <w:rsid w:val="00DE294C"/>
    <w:rsid w:val="00DE298F"/>
    <w:rsid w:val="00DE3180"/>
    <w:rsid w:val="00DE330F"/>
    <w:rsid w:val="00DE33DD"/>
    <w:rsid w:val="00DE371E"/>
    <w:rsid w:val="00DE3A6E"/>
    <w:rsid w:val="00DE3E6E"/>
    <w:rsid w:val="00DE4388"/>
    <w:rsid w:val="00DE44BF"/>
    <w:rsid w:val="00DE45A2"/>
    <w:rsid w:val="00DE471E"/>
    <w:rsid w:val="00DE4D8C"/>
    <w:rsid w:val="00DE5157"/>
    <w:rsid w:val="00DE54D5"/>
    <w:rsid w:val="00DE557A"/>
    <w:rsid w:val="00DE572B"/>
    <w:rsid w:val="00DE5B3A"/>
    <w:rsid w:val="00DE5B4D"/>
    <w:rsid w:val="00DE6640"/>
    <w:rsid w:val="00DE6673"/>
    <w:rsid w:val="00DE6A00"/>
    <w:rsid w:val="00DE6B6D"/>
    <w:rsid w:val="00DF0322"/>
    <w:rsid w:val="00DF034D"/>
    <w:rsid w:val="00DF0DCE"/>
    <w:rsid w:val="00DF100C"/>
    <w:rsid w:val="00DF1012"/>
    <w:rsid w:val="00DF138A"/>
    <w:rsid w:val="00DF16B0"/>
    <w:rsid w:val="00DF17D2"/>
    <w:rsid w:val="00DF1884"/>
    <w:rsid w:val="00DF1CA6"/>
    <w:rsid w:val="00DF20FC"/>
    <w:rsid w:val="00DF24ED"/>
    <w:rsid w:val="00DF25DA"/>
    <w:rsid w:val="00DF2C82"/>
    <w:rsid w:val="00DF2E5F"/>
    <w:rsid w:val="00DF3040"/>
    <w:rsid w:val="00DF3461"/>
    <w:rsid w:val="00DF3A81"/>
    <w:rsid w:val="00DF3AF5"/>
    <w:rsid w:val="00DF3B45"/>
    <w:rsid w:val="00DF3CBE"/>
    <w:rsid w:val="00DF41CC"/>
    <w:rsid w:val="00DF5401"/>
    <w:rsid w:val="00DF70A9"/>
    <w:rsid w:val="00DF798E"/>
    <w:rsid w:val="00DF7FA5"/>
    <w:rsid w:val="00E003CC"/>
    <w:rsid w:val="00E006B7"/>
    <w:rsid w:val="00E007FC"/>
    <w:rsid w:val="00E00C81"/>
    <w:rsid w:val="00E0170C"/>
    <w:rsid w:val="00E0239A"/>
    <w:rsid w:val="00E02A50"/>
    <w:rsid w:val="00E02AD0"/>
    <w:rsid w:val="00E03832"/>
    <w:rsid w:val="00E03A1D"/>
    <w:rsid w:val="00E03A9C"/>
    <w:rsid w:val="00E048AF"/>
    <w:rsid w:val="00E04A4B"/>
    <w:rsid w:val="00E04E8A"/>
    <w:rsid w:val="00E0526D"/>
    <w:rsid w:val="00E054E7"/>
    <w:rsid w:val="00E06304"/>
    <w:rsid w:val="00E06353"/>
    <w:rsid w:val="00E063FB"/>
    <w:rsid w:val="00E0650B"/>
    <w:rsid w:val="00E069BF"/>
    <w:rsid w:val="00E073A8"/>
    <w:rsid w:val="00E07C1B"/>
    <w:rsid w:val="00E10045"/>
    <w:rsid w:val="00E10164"/>
    <w:rsid w:val="00E103AB"/>
    <w:rsid w:val="00E106C0"/>
    <w:rsid w:val="00E10A32"/>
    <w:rsid w:val="00E10B95"/>
    <w:rsid w:val="00E10C71"/>
    <w:rsid w:val="00E123A0"/>
    <w:rsid w:val="00E123CF"/>
    <w:rsid w:val="00E128BF"/>
    <w:rsid w:val="00E12B9C"/>
    <w:rsid w:val="00E13106"/>
    <w:rsid w:val="00E1322E"/>
    <w:rsid w:val="00E13963"/>
    <w:rsid w:val="00E13CC6"/>
    <w:rsid w:val="00E13D3C"/>
    <w:rsid w:val="00E13D7B"/>
    <w:rsid w:val="00E14C33"/>
    <w:rsid w:val="00E159DD"/>
    <w:rsid w:val="00E15C9D"/>
    <w:rsid w:val="00E15D9B"/>
    <w:rsid w:val="00E16022"/>
    <w:rsid w:val="00E1691F"/>
    <w:rsid w:val="00E1696D"/>
    <w:rsid w:val="00E16AB6"/>
    <w:rsid w:val="00E16E4C"/>
    <w:rsid w:val="00E172F8"/>
    <w:rsid w:val="00E17635"/>
    <w:rsid w:val="00E177B0"/>
    <w:rsid w:val="00E1780E"/>
    <w:rsid w:val="00E178BD"/>
    <w:rsid w:val="00E17D30"/>
    <w:rsid w:val="00E17DE8"/>
    <w:rsid w:val="00E20368"/>
    <w:rsid w:val="00E20583"/>
    <w:rsid w:val="00E20A9A"/>
    <w:rsid w:val="00E21AD0"/>
    <w:rsid w:val="00E21E2F"/>
    <w:rsid w:val="00E22455"/>
    <w:rsid w:val="00E2248B"/>
    <w:rsid w:val="00E2263F"/>
    <w:rsid w:val="00E22FD0"/>
    <w:rsid w:val="00E231E2"/>
    <w:rsid w:val="00E23C58"/>
    <w:rsid w:val="00E243CB"/>
    <w:rsid w:val="00E24C5A"/>
    <w:rsid w:val="00E24F56"/>
    <w:rsid w:val="00E25045"/>
    <w:rsid w:val="00E251A8"/>
    <w:rsid w:val="00E25AB7"/>
    <w:rsid w:val="00E25B1C"/>
    <w:rsid w:val="00E25CEC"/>
    <w:rsid w:val="00E25E98"/>
    <w:rsid w:val="00E26330"/>
    <w:rsid w:val="00E26761"/>
    <w:rsid w:val="00E2691E"/>
    <w:rsid w:val="00E26930"/>
    <w:rsid w:val="00E26AF9"/>
    <w:rsid w:val="00E26E40"/>
    <w:rsid w:val="00E26ED4"/>
    <w:rsid w:val="00E26F9D"/>
    <w:rsid w:val="00E27683"/>
    <w:rsid w:val="00E27840"/>
    <w:rsid w:val="00E27C84"/>
    <w:rsid w:val="00E27CF9"/>
    <w:rsid w:val="00E3055A"/>
    <w:rsid w:val="00E30577"/>
    <w:rsid w:val="00E30B82"/>
    <w:rsid w:val="00E31095"/>
    <w:rsid w:val="00E31192"/>
    <w:rsid w:val="00E31563"/>
    <w:rsid w:val="00E31901"/>
    <w:rsid w:val="00E3191B"/>
    <w:rsid w:val="00E328A7"/>
    <w:rsid w:val="00E32C6C"/>
    <w:rsid w:val="00E3310D"/>
    <w:rsid w:val="00E3333B"/>
    <w:rsid w:val="00E33A0A"/>
    <w:rsid w:val="00E33A14"/>
    <w:rsid w:val="00E33E29"/>
    <w:rsid w:val="00E342C0"/>
    <w:rsid w:val="00E3493F"/>
    <w:rsid w:val="00E35670"/>
    <w:rsid w:val="00E35E37"/>
    <w:rsid w:val="00E35F78"/>
    <w:rsid w:val="00E3695F"/>
    <w:rsid w:val="00E36AFF"/>
    <w:rsid w:val="00E36FEF"/>
    <w:rsid w:val="00E37135"/>
    <w:rsid w:val="00E379F0"/>
    <w:rsid w:val="00E37EA1"/>
    <w:rsid w:val="00E40573"/>
    <w:rsid w:val="00E40708"/>
    <w:rsid w:val="00E40934"/>
    <w:rsid w:val="00E40AA7"/>
    <w:rsid w:val="00E41C96"/>
    <w:rsid w:val="00E41E24"/>
    <w:rsid w:val="00E42050"/>
    <w:rsid w:val="00E424ED"/>
    <w:rsid w:val="00E4318C"/>
    <w:rsid w:val="00E4324C"/>
    <w:rsid w:val="00E432A6"/>
    <w:rsid w:val="00E4332D"/>
    <w:rsid w:val="00E433A1"/>
    <w:rsid w:val="00E4385F"/>
    <w:rsid w:val="00E44676"/>
    <w:rsid w:val="00E44909"/>
    <w:rsid w:val="00E44B86"/>
    <w:rsid w:val="00E44F86"/>
    <w:rsid w:val="00E458ED"/>
    <w:rsid w:val="00E45A62"/>
    <w:rsid w:val="00E45D21"/>
    <w:rsid w:val="00E462E1"/>
    <w:rsid w:val="00E46882"/>
    <w:rsid w:val="00E469EB"/>
    <w:rsid w:val="00E46A5B"/>
    <w:rsid w:val="00E46B61"/>
    <w:rsid w:val="00E47128"/>
    <w:rsid w:val="00E47595"/>
    <w:rsid w:val="00E47C18"/>
    <w:rsid w:val="00E5027B"/>
    <w:rsid w:val="00E503ED"/>
    <w:rsid w:val="00E504AA"/>
    <w:rsid w:val="00E504F7"/>
    <w:rsid w:val="00E50668"/>
    <w:rsid w:val="00E50776"/>
    <w:rsid w:val="00E51141"/>
    <w:rsid w:val="00E5143B"/>
    <w:rsid w:val="00E51D3A"/>
    <w:rsid w:val="00E51FCE"/>
    <w:rsid w:val="00E52971"/>
    <w:rsid w:val="00E52BBD"/>
    <w:rsid w:val="00E52D26"/>
    <w:rsid w:val="00E5333F"/>
    <w:rsid w:val="00E533BE"/>
    <w:rsid w:val="00E53751"/>
    <w:rsid w:val="00E53F10"/>
    <w:rsid w:val="00E53FB7"/>
    <w:rsid w:val="00E53FE2"/>
    <w:rsid w:val="00E545A8"/>
    <w:rsid w:val="00E5480A"/>
    <w:rsid w:val="00E55053"/>
    <w:rsid w:val="00E553F2"/>
    <w:rsid w:val="00E55753"/>
    <w:rsid w:val="00E560CF"/>
    <w:rsid w:val="00E56333"/>
    <w:rsid w:val="00E56583"/>
    <w:rsid w:val="00E566EC"/>
    <w:rsid w:val="00E56D0C"/>
    <w:rsid w:val="00E574B4"/>
    <w:rsid w:val="00E57D00"/>
    <w:rsid w:val="00E60976"/>
    <w:rsid w:val="00E609F5"/>
    <w:rsid w:val="00E613F2"/>
    <w:rsid w:val="00E6190A"/>
    <w:rsid w:val="00E619A0"/>
    <w:rsid w:val="00E61B6E"/>
    <w:rsid w:val="00E630C5"/>
    <w:rsid w:val="00E63554"/>
    <w:rsid w:val="00E63563"/>
    <w:rsid w:val="00E6367E"/>
    <w:rsid w:val="00E63F43"/>
    <w:rsid w:val="00E64324"/>
    <w:rsid w:val="00E644BD"/>
    <w:rsid w:val="00E65496"/>
    <w:rsid w:val="00E65CF7"/>
    <w:rsid w:val="00E66101"/>
    <w:rsid w:val="00E67AF6"/>
    <w:rsid w:val="00E67FF1"/>
    <w:rsid w:val="00E71DCC"/>
    <w:rsid w:val="00E71E2A"/>
    <w:rsid w:val="00E71EA3"/>
    <w:rsid w:val="00E723B9"/>
    <w:rsid w:val="00E726B3"/>
    <w:rsid w:val="00E72766"/>
    <w:rsid w:val="00E72CCE"/>
    <w:rsid w:val="00E73062"/>
    <w:rsid w:val="00E730A7"/>
    <w:rsid w:val="00E73574"/>
    <w:rsid w:val="00E73E1B"/>
    <w:rsid w:val="00E73E85"/>
    <w:rsid w:val="00E74832"/>
    <w:rsid w:val="00E752CF"/>
    <w:rsid w:val="00E756EA"/>
    <w:rsid w:val="00E75D33"/>
    <w:rsid w:val="00E76628"/>
    <w:rsid w:val="00E77021"/>
    <w:rsid w:val="00E771DF"/>
    <w:rsid w:val="00E775FB"/>
    <w:rsid w:val="00E7794A"/>
    <w:rsid w:val="00E77959"/>
    <w:rsid w:val="00E77FDD"/>
    <w:rsid w:val="00E80218"/>
    <w:rsid w:val="00E80899"/>
    <w:rsid w:val="00E81171"/>
    <w:rsid w:val="00E81864"/>
    <w:rsid w:val="00E8228A"/>
    <w:rsid w:val="00E8277B"/>
    <w:rsid w:val="00E82ABA"/>
    <w:rsid w:val="00E82B7D"/>
    <w:rsid w:val="00E832C7"/>
    <w:rsid w:val="00E834ED"/>
    <w:rsid w:val="00E8362E"/>
    <w:rsid w:val="00E83987"/>
    <w:rsid w:val="00E8433D"/>
    <w:rsid w:val="00E848A7"/>
    <w:rsid w:val="00E84C02"/>
    <w:rsid w:val="00E84C9F"/>
    <w:rsid w:val="00E8553D"/>
    <w:rsid w:val="00E85643"/>
    <w:rsid w:val="00E85665"/>
    <w:rsid w:val="00E857BA"/>
    <w:rsid w:val="00E85A19"/>
    <w:rsid w:val="00E86104"/>
    <w:rsid w:val="00E86537"/>
    <w:rsid w:val="00E86A38"/>
    <w:rsid w:val="00E86F4D"/>
    <w:rsid w:val="00E91189"/>
    <w:rsid w:val="00E91472"/>
    <w:rsid w:val="00E9176B"/>
    <w:rsid w:val="00E92951"/>
    <w:rsid w:val="00E92E81"/>
    <w:rsid w:val="00E932D7"/>
    <w:rsid w:val="00E951B7"/>
    <w:rsid w:val="00E9608A"/>
    <w:rsid w:val="00E96565"/>
    <w:rsid w:val="00E966A3"/>
    <w:rsid w:val="00E969AA"/>
    <w:rsid w:val="00E97222"/>
    <w:rsid w:val="00E97479"/>
    <w:rsid w:val="00E97905"/>
    <w:rsid w:val="00E97A38"/>
    <w:rsid w:val="00E97A7B"/>
    <w:rsid w:val="00EA0205"/>
    <w:rsid w:val="00EA0412"/>
    <w:rsid w:val="00EA10B3"/>
    <w:rsid w:val="00EA1200"/>
    <w:rsid w:val="00EA1814"/>
    <w:rsid w:val="00EA1C4F"/>
    <w:rsid w:val="00EA2528"/>
    <w:rsid w:val="00EA27F3"/>
    <w:rsid w:val="00EA31D2"/>
    <w:rsid w:val="00EA3856"/>
    <w:rsid w:val="00EA3A6E"/>
    <w:rsid w:val="00EA3B55"/>
    <w:rsid w:val="00EA423E"/>
    <w:rsid w:val="00EA4436"/>
    <w:rsid w:val="00EA4E08"/>
    <w:rsid w:val="00EA52B7"/>
    <w:rsid w:val="00EA549C"/>
    <w:rsid w:val="00EA55B9"/>
    <w:rsid w:val="00EA55F2"/>
    <w:rsid w:val="00EA56DC"/>
    <w:rsid w:val="00EA62B6"/>
    <w:rsid w:val="00EA6848"/>
    <w:rsid w:val="00EA7949"/>
    <w:rsid w:val="00EB030B"/>
    <w:rsid w:val="00EB05E3"/>
    <w:rsid w:val="00EB0854"/>
    <w:rsid w:val="00EB0E10"/>
    <w:rsid w:val="00EB113D"/>
    <w:rsid w:val="00EB1226"/>
    <w:rsid w:val="00EB128F"/>
    <w:rsid w:val="00EB15A0"/>
    <w:rsid w:val="00EB179F"/>
    <w:rsid w:val="00EB1820"/>
    <w:rsid w:val="00EB1829"/>
    <w:rsid w:val="00EB265F"/>
    <w:rsid w:val="00EB2AFC"/>
    <w:rsid w:val="00EB2E47"/>
    <w:rsid w:val="00EB3D7F"/>
    <w:rsid w:val="00EB4BAF"/>
    <w:rsid w:val="00EB4E1A"/>
    <w:rsid w:val="00EB61EA"/>
    <w:rsid w:val="00EB6C41"/>
    <w:rsid w:val="00EB749E"/>
    <w:rsid w:val="00EB79A3"/>
    <w:rsid w:val="00EB7C07"/>
    <w:rsid w:val="00EB7C84"/>
    <w:rsid w:val="00EC062A"/>
    <w:rsid w:val="00EC0A72"/>
    <w:rsid w:val="00EC0FA9"/>
    <w:rsid w:val="00EC0FAA"/>
    <w:rsid w:val="00EC1264"/>
    <w:rsid w:val="00EC192E"/>
    <w:rsid w:val="00EC1989"/>
    <w:rsid w:val="00EC22F4"/>
    <w:rsid w:val="00EC2CC8"/>
    <w:rsid w:val="00EC2DDB"/>
    <w:rsid w:val="00EC333D"/>
    <w:rsid w:val="00EC353B"/>
    <w:rsid w:val="00EC3B7F"/>
    <w:rsid w:val="00EC3C84"/>
    <w:rsid w:val="00EC4449"/>
    <w:rsid w:val="00EC4CDD"/>
    <w:rsid w:val="00EC5111"/>
    <w:rsid w:val="00EC57ED"/>
    <w:rsid w:val="00EC5866"/>
    <w:rsid w:val="00EC58D2"/>
    <w:rsid w:val="00EC5EDF"/>
    <w:rsid w:val="00EC64AB"/>
    <w:rsid w:val="00EC686E"/>
    <w:rsid w:val="00EC69E4"/>
    <w:rsid w:val="00EC6B2A"/>
    <w:rsid w:val="00EC6C31"/>
    <w:rsid w:val="00EC6F1D"/>
    <w:rsid w:val="00EC7442"/>
    <w:rsid w:val="00EC7A7B"/>
    <w:rsid w:val="00EC7E88"/>
    <w:rsid w:val="00ED0BF7"/>
    <w:rsid w:val="00ED0FEB"/>
    <w:rsid w:val="00ED1506"/>
    <w:rsid w:val="00ED1E42"/>
    <w:rsid w:val="00ED1F07"/>
    <w:rsid w:val="00ED2656"/>
    <w:rsid w:val="00ED27B3"/>
    <w:rsid w:val="00ED2EE2"/>
    <w:rsid w:val="00ED3FB7"/>
    <w:rsid w:val="00ED45F4"/>
    <w:rsid w:val="00ED460B"/>
    <w:rsid w:val="00ED4742"/>
    <w:rsid w:val="00ED5458"/>
    <w:rsid w:val="00ED5994"/>
    <w:rsid w:val="00ED6255"/>
    <w:rsid w:val="00ED6639"/>
    <w:rsid w:val="00ED6741"/>
    <w:rsid w:val="00ED6AB0"/>
    <w:rsid w:val="00ED6C93"/>
    <w:rsid w:val="00ED6F48"/>
    <w:rsid w:val="00ED73B6"/>
    <w:rsid w:val="00ED74B9"/>
    <w:rsid w:val="00ED762C"/>
    <w:rsid w:val="00ED7C73"/>
    <w:rsid w:val="00EE1833"/>
    <w:rsid w:val="00EE202C"/>
    <w:rsid w:val="00EE2244"/>
    <w:rsid w:val="00EE2336"/>
    <w:rsid w:val="00EE2535"/>
    <w:rsid w:val="00EE2864"/>
    <w:rsid w:val="00EE2ADE"/>
    <w:rsid w:val="00EE2C28"/>
    <w:rsid w:val="00EE2DBD"/>
    <w:rsid w:val="00EE3338"/>
    <w:rsid w:val="00EE383D"/>
    <w:rsid w:val="00EE391A"/>
    <w:rsid w:val="00EE3CC3"/>
    <w:rsid w:val="00EE441B"/>
    <w:rsid w:val="00EE4540"/>
    <w:rsid w:val="00EE457D"/>
    <w:rsid w:val="00EE4775"/>
    <w:rsid w:val="00EE48F4"/>
    <w:rsid w:val="00EE4C91"/>
    <w:rsid w:val="00EE5246"/>
    <w:rsid w:val="00EE556D"/>
    <w:rsid w:val="00EE6D7A"/>
    <w:rsid w:val="00EE6DE1"/>
    <w:rsid w:val="00EE6E0D"/>
    <w:rsid w:val="00EE71D1"/>
    <w:rsid w:val="00EE79CA"/>
    <w:rsid w:val="00EE7C18"/>
    <w:rsid w:val="00EF0470"/>
    <w:rsid w:val="00EF0511"/>
    <w:rsid w:val="00EF09CE"/>
    <w:rsid w:val="00EF0A50"/>
    <w:rsid w:val="00EF0BC4"/>
    <w:rsid w:val="00EF13DB"/>
    <w:rsid w:val="00EF1609"/>
    <w:rsid w:val="00EF1785"/>
    <w:rsid w:val="00EF1AB5"/>
    <w:rsid w:val="00EF1E8E"/>
    <w:rsid w:val="00EF2069"/>
    <w:rsid w:val="00EF24F1"/>
    <w:rsid w:val="00EF26A6"/>
    <w:rsid w:val="00EF2838"/>
    <w:rsid w:val="00EF343F"/>
    <w:rsid w:val="00EF3471"/>
    <w:rsid w:val="00EF37A2"/>
    <w:rsid w:val="00EF4C03"/>
    <w:rsid w:val="00EF5201"/>
    <w:rsid w:val="00EF540E"/>
    <w:rsid w:val="00EF591A"/>
    <w:rsid w:val="00EF60A8"/>
    <w:rsid w:val="00EF63FA"/>
    <w:rsid w:val="00EF66C2"/>
    <w:rsid w:val="00EF727E"/>
    <w:rsid w:val="00EF7752"/>
    <w:rsid w:val="00EF78DB"/>
    <w:rsid w:val="00F00ABD"/>
    <w:rsid w:val="00F00B6C"/>
    <w:rsid w:val="00F00D7C"/>
    <w:rsid w:val="00F00E72"/>
    <w:rsid w:val="00F012E1"/>
    <w:rsid w:val="00F0174E"/>
    <w:rsid w:val="00F01789"/>
    <w:rsid w:val="00F01A93"/>
    <w:rsid w:val="00F02A02"/>
    <w:rsid w:val="00F02CEB"/>
    <w:rsid w:val="00F03386"/>
    <w:rsid w:val="00F03658"/>
    <w:rsid w:val="00F03741"/>
    <w:rsid w:val="00F03A8E"/>
    <w:rsid w:val="00F03D15"/>
    <w:rsid w:val="00F04059"/>
    <w:rsid w:val="00F04996"/>
    <w:rsid w:val="00F04EAB"/>
    <w:rsid w:val="00F05097"/>
    <w:rsid w:val="00F05DF0"/>
    <w:rsid w:val="00F05E3B"/>
    <w:rsid w:val="00F05F90"/>
    <w:rsid w:val="00F06187"/>
    <w:rsid w:val="00F061B3"/>
    <w:rsid w:val="00F0648F"/>
    <w:rsid w:val="00F06874"/>
    <w:rsid w:val="00F06C8C"/>
    <w:rsid w:val="00F06CB6"/>
    <w:rsid w:val="00F06D9C"/>
    <w:rsid w:val="00F076FA"/>
    <w:rsid w:val="00F079F3"/>
    <w:rsid w:val="00F10AF1"/>
    <w:rsid w:val="00F121BE"/>
    <w:rsid w:val="00F12BBD"/>
    <w:rsid w:val="00F1320F"/>
    <w:rsid w:val="00F13415"/>
    <w:rsid w:val="00F13850"/>
    <w:rsid w:val="00F13B04"/>
    <w:rsid w:val="00F13EBA"/>
    <w:rsid w:val="00F148D1"/>
    <w:rsid w:val="00F148EA"/>
    <w:rsid w:val="00F14E4D"/>
    <w:rsid w:val="00F158BA"/>
    <w:rsid w:val="00F15CED"/>
    <w:rsid w:val="00F17C2B"/>
    <w:rsid w:val="00F20BA4"/>
    <w:rsid w:val="00F20C06"/>
    <w:rsid w:val="00F20C64"/>
    <w:rsid w:val="00F20D0A"/>
    <w:rsid w:val="00F20FBE"/>
    <w:rsid w:val="00F215B3"/>
    <w:rsid w:val="00F21804"/>
    <w:rsid w:val="00F21C4B"/>
    <w:rsid w:val="00F22FB8"/>
    <w:rsid w:val="00F23FDC"/>
    <w:rsid w:val="00F24143"/>
    <w:rsid w:val="00F248CD"/>
    <w:rsid w:val="00F25545"/>
    <w:rsid w:val="00F25B93"/>
    <w:rsid w:val="00F263E7"/>
    <w:rsid w:val="00F26C0A"/>
    <w:rsid w:val="00F2709E"/>
    <w:rsid w:val="00F275CB"/>
    <w:rsid w:val="00F27946"/>
    <w:rsid w:val="00F27CFC"/>
    <w:rsid w:val="00F30314"/>
    <w:rsid w:val="00F30C21"/>
    <w:rsid w:val="00F30EC1"/>
    <w:rsid w:val="00F313E5"/>
    <w:rsid w:val="00F31826"/>
    <w:rsid w:val="00F3197C"/>
    <w:rsid w:val="00F323B2"/>
    <w:rsid w:val="00F3268D"/>
    <w:rsid w:val="00F32856"/>
    <w:rsid w:val="00F32D13"/>
    <w:rsid w:val="00F338AC"/>
    <w:rsid w:val="00F33E34"/>
    <w:rsid w:val="00F33E76"/>
    <w:rsid w:val="00F34534"/>
    <w:rsid w:val="00F34A52"/>
    <w:rsid w:val="00F35678"/>
    <w:rsid w:val="00F356D7"/>
    <w:rsid w:val="00F363B0"/>
    <w:rsid w:val="00F36AD0"/>
    <w:rsid w:val="00F36C32"/>
    <w:rsid w:val="00F37042"/>
    <w:rsid w:val="00F3724B"/>
    <w:rsid w:val="00F37688"/>
    <w:rsid w:val="00F37EC6"/>
    <w:rsid w:val="00F400F6"/>
    <w:rsid w:val="00F409DA"/>
    <w:rsid w:val="00F40C2D"/>
    <w:rsid w:val="00F4147E"/>
    <w:rsid w:val="00F42050"/>
    <w:rsid w:val="00F42B24"/>
    <w:rsid w:val="00F430B0"/>
    <w:rsid w:val="00F43DAD"/>
    <w:rsid w:val="00F43E39"/>
    <w:rsid w:val="00F4406D"/>
    <w:rsid w:val="00F4455C"/>
    <w:rsid w:val="00F44974"/>
    <w:rsid w:val="00F44E29"/>
    <w:rsid w:val="00F44F98"/>
    <w:rsid w:val="00F451B5"/>
    <w:rsid w:val="00F451DB"/>
    <w:rsid w:val="00F45B47"/>
    <w:rsid w:val="00F45E90"/>
    <w:rsid w:val="00F4607F"/>
    <w:rsid w:val="00F468B0"/>
    <w:rsid w:val="00F472EA"/>
    <w:rsid w:val="00F478E9"/>
    <w:rsid w:val="00F47972"/>
    <w:rsid w:val="00F47A40"/>
    <w:rsid w:val="00F50096"/>
    <w:rsid w:val="00F523CC"/>
    <w:rsid w:val="00F524F9"/>
    <w:rsid w:val="00F525AC"/>
    <w:rsid w:val="00F52DA7"/>
    <w:rsid w:val="00F52EB0"/>
    <w:rsid w:val="00F5363C"/>
    <w:rsid w:val="00F537EA"/>
    <w:rsid w:val="00F53AA9"/>
    <w:rsid w:val="00F53ADD"/>
    <w:rsid w:val="00F5439A"/>
    <w:rsid w:val="00F54457"/>
    <w:rsid w:val="00F54A63"/>
    <w:rsid w:val="00F54A70"/>
    <w:rsid w:val="00F54E01"/>
    <w:rsid w:val="00F54FC7"/>
    <w:rsid w:val="00F551D8"/>
    <w:rsid w:val="00F5536E"/>
    <w:rsid w:val="00F55641"/>
    <w:rsid w:val="00F55CD3"/>
    <w:rsid w:val="00F5600E"/>
    <w:rsid w:val="00F56354"/>
    <w:rsid w:val="00F56523"/>
    <w:rsid w:val="00F56CE8"/>
    <w:rsid w:val="00F573C9"/>
    <w:rsid w:val="00F57E3A"/>
    <w:rsid w:val="00F57F06"/>
    <w:rsid w:val="00F60371"/>
    <w:rsid w:val="00F60850"/>
    <w:rsid w:val="00F60875"/>
    <w:rsid w:val="00F60E4F"/>
    <w:rsid w:val="00F60F98"/>
    <w:rsid w:val="00F61209"/>
    <w:rsid w:val="00F61BF7"/>
    <w:rsid w:val="00F61D9B"/>
    <w:rsid w:val="00F6207C"/>
    <w:rsid w:val="00F62AEE"/>
    <w:rsid w:val="00F62BA9"/>
    <w:rsid w:val="00F6301C"/>
    <w:rsid w:val="00F638ED"/>
    <w:rsid w:val="00F64119"/>
    <w:rsid w:val="00F647B2"/>
    <w:rsid w:val="00F64BE6"/>
    <w:rsid w:val="00F64EFC"/>
    <w:rsid w:val="00F64F0A"/>
    <w:rsid w:val="00F656D6"/>
    <w:rsid w:val="00F65838"/>
    <w:rsid w:val="00F65FCA"/>
    <w:rsid w:val="00F66A46"/>
    <w:rsid w:val="00F66F31"/>
    <w:rsid w:val="00F672EE"/>
    <w:rsid w:val="00F673CB"/>
    <w:rsid w:val="00F675C5"/>
    <w:rsid w:val="00F67615"/>
    <w:rsid w:val="00F6768E"/>
    <w:rsid w:val="00F67933"/>
    <w:rsid w:val="00F67D64"/>
    <w:rsid w:val="00F67F07"/>
    <w:rsid w:val="00F701B4"/>
    <w:rsid w:val="00F7041E"/>
    <w:rsid w:val="00F7095D"/>
    <w:rsid w:val="00F70A28"/>
    <w:rsid w:val="00F70F13"/>
    <w:rsid w:val="00F710C2"/>
    <w:rsid w:val="00F7110A"/>
    <w:rsid w:val="00F71652"/>
    <w:rsid w:val="00F7340D"/>
    <w:rsid w:val="00F7344C"/>
    <w:rsid w:val="00F7362D"/>
    <w:rsid w:val="00F73B05"/>
    <w:rsid w:val="00F7408F"/>
    <w:rsid w:val="00F74259"/>
    <w:rsid w:val="00F7439E"/>
    <w:rsid w:val="00F754C7"/>
    <w:rsid w:val="00F75513"/>
    <w:rsid w:val="00F75581"/>
    <w:rsid w:val="00F758A2"/>
    <w:rsid w:val="00F76453"/>
    <w:rsid w:val="00F7655A"/>
    <w:rsid w:val="00F76918"/>
    <w:rsid w:val="00F7697C"/>
    <w:rsid w:val="00F76D71"/>
    <w:rsid w:val="00F77358"/>
    <w:rsid w:val="00F775A0"/>
    <w:rsid w:val="00F77C2E"/>
    <w:rsid w:val="00F8004F"/>
    <w:rsid w:val="00F805DC"/>
    <w:rsid w:val="00F808FD"/>
    <w:rsid w:val="00F81536"/>
    <w:rsid w:val="00F817DC"/>
    <w:rsid w:val="00F82212"/>
    <w:rsid w:val="00F82773"/>
    <w:rsid w:val="00F82956"/>
    <w:rsid w:val="00F82D0F"/>
    <w:rsid w:val="00F82D11"/>
    <w:rsid w:val="00F83163"/>
    <w:rsid w:val="00F84675"/>
    <w:rsid w:val="00F84E08"/>
    <w:rsid w:val="00F854EE"/>
    <w:rsid w:val="00F858CC"/>
    <w:rsid w:val="00F8612B"/>
    <w:rsid w:val="00F8630B"/>
    <w:rsid w:val="00F866E3"/>
    <w:rsid w:val="00F87064"/>
    <w:rsid w:val="00F871BD"/>
    <w:rsid w:val="00F873E9"/>
    <w:rsid w:val="00F874EA"/>
    <w:rsid w:val="00F877C5"/>
    <w:rsid w:val="00F8784C"/>
    <w:rsid w:val="00F87C01"/>
    <w:rsid w:val="00F87FA8"/>
    <w:rsid w:val="00F901F9"/>
    <w:rsid w:val="00F907CA"/>
    <w:rsid w:val="00F90B44"/>
    <w:rsid w:val="00F90CB8"/>
    <w:rsid w:val="00F91622"/>
    <w:rsid w:val="00F91B96"/>
    <w:rsid w:val="00F91CBA"/>
    <w:rsid w:val="00F926B5"/>
    <w:rsid w:val="00F92B1F"/>
    <w:rsid w:val="00F93256"/>
    <w:rsid w:val="00F935E8"/>
    <w:rsid w:val="00F93E75"/>
    <w:rsid w:val="00F944A2"/>
    <w:rsid w:val="00F94A35"/>
    <w:rsid w:val="00F95B2F"/>
    <w:rsid w:val="00F95F7C"/>
    <w:rsid w:val="00F962D7"/>
    <w:rsid w:val="00F96837"/>
    <w:rsid w:val="00F978C2"/>
    <w:rsid w:val="00F97AC6"/>
    <w:rsid w:val="00F9E983"/>
    <w:rsid w:val="00FA06E6"/>
    <w:rsid w:val="00FA0EB1"/>
    <w:rsid w:val="00FA14E2"/>
    <w:rsid w:val="00FA182E"/>
    <w:rsid w:val="00FA1AA0"/>
    <w:rsid w:val="00FA1B72"/>
    <w:rsid w:val="00FA1C86"/>
    <w:rsid w:val="00FA1E94"/>
    <w:rsid w:val="00FA27CB"/>
    <w:rsid w:val="00FA28ED"/>
    <w:rsid w:val="00FA2914"/>
    <w:rsid w:val="00FA3BA4"/>
    <w:rsid w:val="00FA4250"/>
    <w:rsid w:val="00FA4631"/>
    <w:rsid w:val="00FA5213"/>
    <w:rsid w:val="00FA5826"/>
    <w:rsid w:val="00FA5915"/>
    <w:rsid w:val="00FA60A9"/>
    <w:rsid w:val="00FA64F9"/>
    <w:rsid w:val="00FA6767"/>
    <w:rsid w:val="00FA6B7E"/>
    <w:rsid w:val="00FA6ED1"/>
    <w:rsid w:val="00FA71BB"/>
    <w:rsid w:val="00FA7BB1"/>
    <w:rsid w:val="00FA7C98"/>
    <w:rsid w:val="00FA7D0A"/>
    <w:rsid w:val="00FB060D"/>
    <w:rsid w:val="00FB08A2"/>
    <w:rsid w:val="00FB1211"/>
    <w:rsid w:val="00FB1321"/>
    <w:rsid w:val="00FB152C"/>
    <w:rsid w:val="00FB1F26"/>
    <w:rsid w:val="00FB20BE"/>
    <w:rsid w:val="00FB20CB"/>
    <w:rsid w:val="00FB2BC6"/>
    <w:rsid w:val="00FB2D0B"/>
    <w:rsid w:val="00FB2E91"/>
    <w:rsid w:val="00FB2EF7"/>
    <w:rsid w:val="00FB35E1"/>
    <w:rsid w:val="00FB3A5C"/>
    <w:rsid w:val="00FB3C63"/>
    <w:rsid w:val="00FB6048"/>
    <w:rsid w:val="00FB6095"/>
    <w:rsid w:val="00FB620F"/>
    <w:rsid w:val="00FB63A7"/>
    <w:rsid w:val="00FB6634"/>
    <w:rsid w:val="00FB6981"/>
    <w:rsid w:val="00FC0557"/>
    <w:rsid w:val="00FC0564"/>
    <w:rsid w:val="00FC06E1"/>
    <w:rsid w:val="00FC0B03"/>
    <w:rsid w:val="00FC0CC0"/>
    <w:rsid w:val="00FC0E01"/>
    <w:rsid w:val="00FC1F0E"/>
    <w:rsid w:val="00FC21E8"/>
    <w:rsid w:val="00FC2383"/>
    <w:rsid w:val="00FC27E7"/>
    <w:rsid w:val="00FC2AAC"/>
    <w:rsid w:val="00FC2B61"/>
    <w:rsid w:val="00FC34B3"/>
    <w:rsid w:val="00FC34E5"/>
    <w:rsid w:val="00FC3888"/>
    <w:rsid w:val="00FC3A88"/>
    <w:rsid w:val="00FC44F3"/>
    <w:rsid w:val="00FC467C"/>
    <w:rsid w:val="00FC48F0"/>
    <w:rsid w:val="00FC4A30"/>
    <w:rsid w:val="00FC5061"/>
    <w:rsid w:val="00FC50F2"/>
    <w:rsid w:val="00FC5115"/>
    <w:rsid w:val="00FC56E4"/>
    <w:rsid w:val="00FC5B2E"/>
    <w:rsid w:val="00FC601E"/>
    <w:rsid w:val="00FC6CF4"/>
    <w:rsid w:val="00FC735E"/>
    <w:rsid w:val="00FC7795"/>
    <w:rsid w:val="00FC7B5A"/>
    <w:rsid w:val="00FC7B5F"/>
    <w:rsid w:val="00FD03E7"/>
    <w:rsid w:val="00FD0D0A"/>
    <w:rsid w:val="00FD107C"/>
    <w:rsid w:val="00FD10A4"/>
    <w:rsid w:val="00FD1957"/>
    <w:rsid w:val="00FD1F4F"/>
    <w:rsid w:val="00FD1F80"/>
    <w:rsid w:val="00FD28B5"/>
    <w:rsid w:val="00FD297E"/>
    <w:rsid w:val="00FD2D55"/>
    <w:rsid w:val="00FD3A90"/>
    <w:rsid w:val="00FD45B1"/>
    <w:rsid w:val="00FD48F4"/>
    <w:rsid w:val="00FD4B2B"/>
    <w:rsid w:val="00FD56F6"/>
    <w:rsid w:val="00FD5904"/>
    <w:rsid w:val="00FD6673"/>
    <w:rsid w:val="00FD66DE"/>
    <w:rsid w:val="00FD7825"/>
    <w:rsid w:val="00FD7E31"/>
    <w:rsid w:val="00FE04C5"/>
    <w:rsid w:val="00FE0B6D"/>
    <w:rsid w:val="00FE13F8"/>
    <w:rsid w:val="00FE1790"/>
    <w:rsid w:val="00FE1856"/>
    <w:rsid w:val="00FE2345"/>
    <w:rsid w:val="00FE2D65"/>
    <w:rsid w:val="00FE2F94"/>
    <w:rsid w:val="00FE327E"/>
    <w:rsid w:val="00FE3741"/>
    <w:rsid w:val="00FE3981"/>
    <w:rsid w:val="00FE3A43"/>
    <w:rsid w:val="00FE4346"/>
    <w:rsid w:val="00FE4382"/>
    <w:rsid w:val="00FE48E3"/>
    <w:rsid w:val="00FE4F2A"/>
    <w:rsid w:val="00FE5100"/>
    <w:rsid w:val="00FE5382"/>
    <w:rsid w:val="00FE5B0C"/>
    <w:rsid w:val="00FE5C09"/>
    <w:rsid w:val="00FE5FD6"/>
    <w:rsid w:val="00FE62C5"/>
    <w:rsid w:val="00FE63D0"/>
    <w:rsid w:val="00FE6962"/>
    <w:rsid w:val="00FE6E34"/>
    <w:rsid w:val="00FE707D"/>
    <w:rsid w:val="00FE75BC"/>
    <w:rsid w:val="00FE7C2B"/>
    <w:rsid w:val="00FE7FB9"/>
    <w:rsid w:val="00FF02EF"/>
    <w:rsid w:val="00FF0353"/>
    <w:rsid w:val="00FF067D"/>
    <w:rsid w:val="00FF445C"/>
    <w:rsid w:val="00FF45F6"/>
    <w:rsid w:val="00FF4841"/>
    <w:rsid w:val="00FF4C79"/>
    <w:rsid w:val="00FF57D2"/>
    <w:rsid w:val="00FF588F"/>
    <w:rsid w:val="00FF68B9"/>
    <w:rsid w:val="00FF6B34"/>
    <w:rsid w:val="00FF6C7A"/>
    <w:rsid w:val="00FF7C3E"/>
    <w:rsid w:val="0130BD64"/>
    <w:rsid w:val="0135C0E5"/>
    <w:rsid w:val="0162E0BA"/>
    <w:rsid w:val="01A02F45"/>
    <w:rsid w:val="01CA152B"/>
    <w:rsid w:val="024D8B3C"/>
    <w:rsid w:val="02551CC8"/>
    <w:rsid w:val="029D211F"/>
    <w:rsid w:val="0317A381"/>
    <w:rsid w:val="034D12B9"/>
    <w:rsid w:val="042D550F"/>
    <w:rsid w:val="04B2763B"/>
    <w:rsid w:val="04EDE277"/>
    <w:rsid w:val="056D5AA2"/>
    <w:rsid w:val="0603C1DA"/>
    <w:rsid w:val="0696B21D"/>
    <w:rsid w:val="06CFB99D"/>
    <w:rsid w:val="06D3C026"/>
    <w:rsid w:val="0729787C"/>
    <w:rsid w:val="0742E22D"/>
    <w:rsid w:val="0755CE17"/>
    <w:rsid w:val="078B98BA"/>
    <w:rsid w:val="07EA11B7"/>
    <w:rsid w:val="0810277A"/>
    <w:rsid w:val="08883747"/>
    <w:rsid w:val="08D2DF97"/>
    <w:rsid w:val="0998F37A"/>
    <w:rsid w:val="09C108C4"/>
    <w:rsid w:val="0A0C27E0"/>
    <w:rsid w:val="0A917479"/>
    <w:rsid w:val="0AA6D420"/>
    <w:rsid w:val="0AB4F242"/>
    <w:rsid w:val="0AD17451"/>
    <w:rsid w:val="0AFE6B26"/>
    <w:rsid w:val="0B7908A6"/>
    <w:rsid w:val="0B8E69A6"/>
    <w:rsid w:val="0B9CFBC8"/>
    <w:rsid w:val="0B9F85B2"/>
    <w:rsid w:val="0BD80BB8"/>
    <w:rsid w:val="0BFE232C"/>
    <w:rsid w:val="0CE07CF1"/>
    <w:rsid w:val="0D029F80"/>
    <w:rsid w:val="0D1528B1"/>
    <w:rsid w:val="0D7863FB"/>
    <w:rsid w:val="0D93A26A"/>
    <w:rsid w:val="0E96C38D"/>
    <w:rsid w:val="0ED78AF0"/>
    <w:rsid w:val="0EE288D2"/>
    <w:rsid w:val="0F94E267"/>
    <w:rsid w:val="1058FDF1"/>
    <w:rsid w:val="106F56DA"/>
    <w:rsid w:val="108537E1"/>
    <w:rsid w:val="10ED4D3C"/>
    <w:rsid w:val="10EE1D1A"/>
    <w:rsid w:val="10F19718"/>
    <w:rsid w:val="110B80AD"/>
    <w:rsid w:val="11164583"/>
    <w:rsid w:val="1162EAFB"/>
    <w:rsid w:val="119CE790"/>
    <w:rsid w:val="11A0E1AA"/>
    <w:rsid w:val="11B7DD40"/>
    <w:rsid w:val="11DFF1CF"/>
    <w:rsid w:val="124CEA3D"/>
    <w:rsid w:val="12F0A5A1"/>
    <w:rsid w:val="1325A80C"/>
    <w:rsid w:val="1516B8DB"/>
    <w:rsid w:val="1633837A"/>
    <w:rsid w:val="166E0C06"/>
    <w:rsid w:val="16F78956"/>
    <w:rsid w:val="1741105C"/>
    <w:rsid w:val="176CDD84"/>
    <w:rsid w:val="1817EFCA"/>
    <w:rsid w:val="189E0A49"/>
    <w:rsid w:val="18DB3C04"/>
    <w:rsid w:val="191C6852"/>
    <w:rsid w:val="1926DF76"/>
    <w:rsid w:val="193A14FA"/>
    <w:rsid w:val="19FF387A"/>
    <w:rsid w:val="1A19254F"/>
    <w:rsid w:val="1A20E79A"/>
    <w:rsid w:val="1A676157"/>
    <w:rsid w:val="1A9218DA"/>
    <w:rsid w:val="1AE8D0E8"/>
    <w:rsid w:val="1B60FDFD"/>
    <w:rsid w:val="1C38F3E9"/>
    <w:rsid w:val="1C58388C"/>
    <w:rsid w:val="1C890053"/>
    <w:rsid w:val="1DDA8411"/>
    <w:rsid w:val="1E29F169"/>
    <w:rsid w:val="1F08C731"/>
    <w:rsid w:val="1F08DC83"/>
    <w:rsid w:val="1F112680"/>
    <w:rsid w:val="1F7B3D4E"/>
    <w:rsid w:val="1F872DD9"/>
    <w:rsid w:val="206D40BE"/>
    <w:rsid w:val="20D1B4F7"/>
    <w:rsid w:val="20D31A26"/>
    <w:rsid w:val="21934A69"/>
    <w:rsid w:val="21A885B1"/>
    <w:rsid w:val="21CA452B"/>
    <w:rsid w:val="220AC571"/>
    <w:rsid w:val="2218D631"/>
    <w:rsid w:val="23064EAF"/>
    <w:rsid w:val="23256523"/>
    <w:rsid w:val="2380E70B"/>
    <w:rsid w:val="239BF7B8"/>
    <w:rsid w:val="23E37B83"/>
    <w:rsid w:val="24419A44"/>
    <w:rsid w:val="244DF730"/>
    <w:rsid w:val="2454C689"/>
    <w:rsid w:val="253314AE"/>
    <w:rsid w:val="257286D6"/>
    <w:rsid w:val="25806341"/>
    <w:rsid w:val="26676DC0"/>
    <w:rsid w:val="26A3BBCD"/>
    <w:rsid w:val="26CCE9C3"/>
    <w:rsid w:val="27C01E71"/>
    <w:rsid w:val="27E41433"/>
    <w:rsid w:val="27F7ACD1"/>
    <w:rsid w:val="28DC06B8"/>
    <w:rsid w:val="29A40FDF"/>
    <w:rsid w:val="29CF0AB0"/>
    <w:rsid w:val="29F40FC8"/>
    <w:rsid w:val="2A45EE19"/>
    <w:rsid w:val="2A9405A5"/>
    <w:rsid w:val="2A9BD529"/>
    <w:rsid w:val="2AEF1186"/>
    <w:rsid w:val="2B554DB2"/>
    <w:rsid w:val="2B77CAC7"/>
    <w:rsid w:val="2BF0C0CC"/>
    <w:rsid w:val="2C12EAA9"/>
    <w:rsid w:val="2CA3B469"/>
    <w:rsid w:val="2CE24A3B"/>
    <w:rsid w:val="2D4CF82C"/>
    <w:rsid w:val="2EA6B60D"/>
    <w:rsid w:val="2F1A4BCA"/>
    <w:rsid w:val="2FD0FB12"/>
    <w:rsid w:val="303E7695"/>
    <w:rsid w:val="308766D6"/>
    <w:rsid w:val="309B954D"/>
    <w:rsid w:val="3146C00A"/>
    <w:rsid w:val="316E2B88"/>
    <w:rsid w:val="31AEA907"/>
    <w:rsid w:val="31B1342C"/>
    <w:rsid w:val="31F20EE8"/>
    <w:rsid w:val="322024E8"/>
    <w:rsid w:val="328AADE7"/>
    <w:rsid w:val="3389A8F7"/>
    <w:rsid w:val="33FA26AB"/>
    <w:rsid w:val="3431CE1A"/>
    <w:rsid w:val="346B36AE"/>
    <w:rsid w:val="3481A214"/>
    <w:rsid w:val="35B2960B"/>
    <w:rsid w:val="362AE37C"/>
    <w:rsid w:val="3643E393"/>
    <w:rsid w:val="37032488"/>
    <w:rsid w:val="3764686F"/>
    <w:rsid w:val="378F3BDB"/>
    <w:rsid w:val="37F0BCAA"/>
    <w:rsid w:val="381539A0"/>
    <w:rsid w:val="382FAB25"/>
    <w:rsid w:val="383D612C"/>
    <w:rsid w:val="38C674E4"/>
    <w:rsid w:val="38D41C92"/>
    <w:rsid w:val="38D4A4F9"/>
    <w:rsid w:val="38F161E7"/>
    <w:rsid w:val="396FA687"/>
    <w:rsid w:val="397B681C"/>
    <w:rsid w:val="398F9F61"/>
    <w:rsid w:val="3A4873CF"/>
    <w:rsid w:val="3A73E57A"/>
    <w:rsid w:val="3A85A120"/>
    <w:rsid w:val="3B4FF06C"/>
    <w:rsid w:val="3B5C8491"/>
    <w:rsid w:val="3C65C691"/>
    <w:rsid w:val="3CE60734"/>
    <w:rsid w:val="3CEC365C"/>
    <w:rsid w:val="3D181EC7"/>
    <w:rsid w:val="3D4A26FB"/>
    <w:rsid w:val="3D97B7FD"/>
    <w:rsid w:val="3D9A40BB"/>
    <w:rsid w:val="3DA44568"/>
    <w:rsid w:val="3DE4B6B4"/>
    <w:rsid w:val="3E34AC06"/>
    <w:rsid w:val="3E34E7D3"/>
    <w:rsid w:val="3E58CD56"/>
    <w:rsid w:val="3E7EC43A"/>
    <w:rsid w:val="3EDC49C6"/>
    <w:rsid w:val="3EEE42E9"/>
    <w:rsid w:val="3F299CC6"/>
    <w:rsid w:val="3F610DE4"/>
    <w:rsid w:val="3FB41FC2"/>
    <w:rsid w:val="3FCCB69E"/>
    <w:rsid w:val="3FEE2C2D"/>
    <w:rsid w:val="403685FD"/>
    <w:rsid w:val="40385F17"/>
    <w:rsid w:val="4114143F"/>
    <w:rsid w:val="41458E91"/>
    <w:rsid w:val="41841909"/>
    <w:rsid w:val="422B2557"/>
    <w:rsid w:val="4297B213"/>
    <w:rsid w:val="42A8DEDC"/>
    <w:rsid w:val="431ADCB5"/>
    <w:rsid w:val="435FB9C6"/>
    <w:rsid w:val="446C6B6F"/>
    <w:rsid w:val="44AA3DD7"/>
    <w:rsid w:val="44D5290D"/>
    <w:rsid w:val="453DE808"/>
    <w:rsid w:val="45C6AC8E"/>
    <w:rsid w:val="45E3CDB2"/>
    <w:rsid w:val="46C2C7F0"/>
    <w:rsid w:val="4718D279"/>
    <w:rsid w:val="47298EA3"/>
    <w:rsid w:val="482EE632"/>
    <w:rsid w:val="487BF783"/>
    <w:rsid w:val="4939E191"/>
    <w:rsid w:val="498ACACB"/>
    <w:rsid w:val="49BCDE75"/>
    <w:rsid w:val="49E27CAA"/>
    <w:rsid w:val="4A77F246"/>
    <w:rsid w:val="4AB9377D"/>
    <w:rsid w:val="4AE7E96A"/>
    <w:rsid w:val="4B4BA842"/>
    <w:rsid w:val="4B5115A8"/>
    <w:rsid w:val="4C57EE1D"/>
    <w:rsid w:val="4CD9C237"/>
    <w:rsid w:val="4D3B67C2"/>
    <w:rsid w:val="4D428636"/>
    <w:rsid w:val="4D5F3A93"/>
    <w:rsid w:val="4D854B10"/>
    <w:rsid w:val="4E1483C3"/>
    <w:rsid w:val="4E492E4C"/>
    <w:rsid w:val="4EAA9472"/>
    <w:rsid w:val="4EB1A962"/>
    <w:rsid w:val="4EF01624"/>
    <w:rsid w:val="4F2FAB30"/>
    <w:rsid w:val="4F45AD73"/>
    <w:rsid w:val="4F977053"/>
    <w:rsid w:val="51510084"/>
    <w:rsid w:val="516086E7"/>
    <w:rsid w:val="52425C78"/>
    <w:rsid w:val="5264CE3A"/>
    <w:rsid w:val="529E63FD"/>
    <w:rsid w:val="52C255CF"/>
    <w:rsid w:val="52D24EB8"/>
    <w:rsid w:val="533E899B"/>
    <w:rsid w:val="534D8DC5"/>
    <w:rsid w:val="5395C524"/>
    <w:rsid w:val="53BA2A55"/>
    <w:rsid w:val="54130176"/>
    <w:rsid w:val="5433E879"/>
    <w:rsid w:val="54A5DB36"/>
    <w:rsid w:val="54CDDA66"/>
    <w:rsid w:val="554691AC"/>
    <w:rsid w:val="55723570"/>
    <w:rsid w:val="5660E02A"/>
    <w:rsid w:val="56B0FA40"/>
    <w:rsid w:val="57270A3A"/>
    <w:rsid w:val="57C7B78A"/>
    <w:rsid w:val="5831271B"/>
    <w:rsid w:val="584BC56E"/>
    <w:rsid w:val="5900801B"/>
    <w:rsid w:val="5923A2E6"/>
    <w:rsid w:val="59CBE34C"/>
    <w:rsid w:val="59E09C3B"/>
    <w:rsid w:val="5A1DE3B5"/>
    <w:rsid w:val="5A5253F9"/>
    <w:rsid w:val="5A78D246"/>
    <w:rsid w:val="5AC40965"/>
    <w:rsid w:val="5BF5E940"/>
    <w:rsid w:val="5C2DC488"/>
    <w:rsid w:val="5C580B35"/>
    <w:rsid w:val="5C70F6EC"/>
    <w:rsid w:val="5C825A00"/>
    <w:rsid w:val="5CC9929D"/>
    <w:rsid w:val="5D1239BC"/>
    <w:rsid w:val="5D659308"/>
    <w:rsid w:val="5DB3B5BD"/>
    <w:rsid w:val="5DB6B036"/>
    <w:rsid w:val="5E724B68"/>
    <w:rsid w:val="5EA45808"/>
    <w:rsid w:val="5EA8F0D2"/>
    <w:rsid w:val="5EB95675"/>
    <w:rsid w:val="5F2896DD"/>
    <w:rsid w:val="5F45FF31"/>
    <w:rsid w:val="5F575833"/>
    <w:rsid w:val="5F590BEB"/>
    <w:rsid w:val="5F74CFBC"/>
    <w:rsid w:val="5FC3A121"/>
    <w:rsid w:val="609C6012"/>
    <w:rsid w:val="60A8A50A"/>
    <w:rsid w:val="60C7CFDF"/>
    <w:rsid w:val="615D1ADC"/>
    <w:rsid w:val="6171DC2E"/>
    <w:rsid w:val="61CAFF82"/>
    <w:rsid w:val="61EF95E0"/>
    <w:rsid w:val="622B9E82"/>
    <w:rsid w:val="62B6066E"/>
    <w:rsid w:val="633AD915"/>
    <w:rsid w:val="63429471"/>
    <w:rsid w:val="6366A59F"/>
    <w:rsid w:val="6372C392"/>
    <w:rsid w:val="63C17621"/>
    <w:rsid w:val="649BB2A7"/>
    <w:rsid w:val="64C842C0"/>
    <w:rsid w:val="65010DE5"/>
    <w:rsid w:val="6673200E"/>
    <w:rsid w:val="6677569B"/>
    <w:rsid w:val="66CFE680"/>
    <w:rsid w:val="67021813"/>
    <w:rsid w:val="6809DDD4"/>
    <w:rsid w:val="6821ACAA"/>
    <w:rsid w:val="684FB0E8"/>
    <w:rsid w:val="693167A0"/>
    <w:rsid w:val="69601ACB"/>
    <w:rsid w:val="69F257B9"/>
    <w:rsid w:val="6A79C717"/>
    <w:rsid w:val="6AD5D311"/>
    <w:rsid w:val="6ADE4CD0"/>
    <w:rsid w:val="6AFF7D68"/>
    <w:rsid w:val="6B2E9354"/>
    <w:rsid w:val="6B8C00EA"/>
    <w:rsid w:val="6BF45AC7"/>
    <w:rsid w:val="6C16D5C4"/>
    <w:rsid w:val="6C1DDBB3"/>
    <w:rsid w:val="6DB395A9"/>
    <w:rsid w:val="6DDB4FCD"/>
    <w:rsid w:val="6DEBAA20"/>
    <w:rsid w:val="6DFDC4CD"/>
    <w:rsid w:val="6ED0BC77"/>
    <w:rsid w:val="6EE085A4"/>
    <w:rsid w:val="6EE948CE"/>
    <w:rsid w:val="6EEB78A0"/>
    <w:rsid w:val="6F0DA6A2"/>
    <w:rsid w:val="6F3F140E"/>
    <w:rsid w:val="6F402EBB"/>
    <w:rsid w:val="6F80C739"/>
    <w:rsid w:val="6F9FC997"/>
    <w:rsid w:val="6FCCE773"/>
    <w:rsid w:val="6FE4B724"/>
    <w:rsid w:val="6FF69219"/>
    <w:rsid w:val="703E9EF0"/>
    <w:rsid w:val="7068967D"/>
    <w:rsid w:val="7093CA70"/>
    <w:rsid w:val="70E15830"/>
    <w:rsid w:val="70E48361"/>
    <w:rsid w:val="70F24697"/>
    <w:rsid w:val="710227A8"/>
    <w:rsid w:val="710A5515"/>
    <w:rsid w:val="71440101"/>
    <w:rsid w:val="7155985A"/>
    <w:rsid w:val="716D30D5"/>
    <w:rsid w:val="7192E217"/>
    <w:rsid w:val="72185CA5"/>
    <w:rsid w:val="732C4D9F"/>
    <w:rsid w:val="7364F5E6"/>
    <w:rsid w:val="7376CD12"/>
    <w:rsid w:val="737A26FB"/>
    <w:rsid w:val="73BAB1AA"/>
    <w:rsid w:val="74316C5B"/>
    <w:rsid w:val="749AA82C"/>
    <w:rsid w:val="757F174A"/>
    <w:rsid w:val="75BDA407"/>
    <w:rsid w:val="75CB934C"/>
    <w:rsid w:val="7666136E"/>
    <w:rsid w:val="76A7957B"/>
    <w:rsid w:val="76C9A935"/>
    <w:rsid w:val="76DA7DFA"/>
    <w:rsid w:val="77081223"/>
    <w:rsid w:val="77E0047D"/>
    <w:rsid w:val="7847797A"/>
    <w:rsid w:val="78D29766"/>
    <w:rsid w:val="794093F0"/>
    <w:rsid w:val="796765C4"/>
    <w:rsid w:val="79756BBD"/>
    <w:rsid w:val="7A00F133"/>
    <w:rsid w:val="7A1AD785"/>
    <w:rsid w:val="7A8EACE8"/>
    <w:rsid w:val="7AF61014"/>
    <w:rsid w:val="7B0C15FD"/>
    <w:rsid w:val="7B309EA9"/>
    <w:rsid w:val="7B5CB7D8"/>
    <w:rsid w:val="7C621ACE"/>
    <w:rsid w:val="7C7624F1"/>
    <w:rsid w:val="7C8E95F9"/>
    <w:rsid w:val="7D39826B"/>
    <w:rsid w:val="7D77298A"/>
    <w:rsid w:val="7D9D57E3"/>
    <w:rsid w:val="7DF21D15"/>
    <w:rsid w:val="7E26B6F0"/>
    <w:rsid w:val="7EBD44C9"/>
    <w:rsid w:val="7F431E0A"/>
    <w:rsid w:val="7F4BF39F"/>
    <w:rsid w:val="7FF58AEA"/>
  </w:rsids>
  <m:mathPr>
    <m:mathFont m:val="Cambria Math"/>
    <m:brkBin m:val="before"/>
    <m:brkBinSub m:val="--"/>
    <m:smallFrac m:val="0"/>
    <m:dispDef/>
    <m:lMargin m:val="0"/>
    <m:rMargin m:val="0"/>
    <m:defJc m:val="centerGroup"/>
    <m:wrapIndent m:val="1440"/>
    <m:intLim m:val="subSup"/>
    <m:naryLim m:val="undOvr"/>
  </m:mathPr>
  <w:themeFontLang w:val="en-AU" w:eastAsia="zh-TW"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10F3BF"/>
  <w15:chartTrackingRefBased/>
  <w15:docId w15:val="{DEC57B01-CC0E-4E4B-ACFB-C7494464E8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Letter Address"/>
    <w:qFormat/>
    <w:rsid w:val="003253B0"/>
    <w:rPr>
      <w:rFonts w:ascii="avenir" w:hAnsi="avenir"/>
      <w:color w:val="00234E"/>
      <w:sz w:val="14"/>
    </w:rPr>
  </w:style>
  <w:style w:type="paragraph" w:styleId="Heading1">
    <w:name w:val="heading 1"/>
    <w:aliases w:val="Heading 1 Template"/>
    <w:next w:val="BodyCopy"/>
    <w:link w:val="Heading1Char"/>
    <w:uiPriority w:val="9"/>
    <w:qFormat/>
    <w:rsid w:val="00421BE6"/>
    <w:pPr>
      <w:outlineLvl w:val="0"/>
    </w:pPr>
    <w:rPr>
      <w:rFonts w:ascii="Avenir Roman" w:eastAsia="Times New Roman" w:hAnsi="Avenir Roman" w:cs="Times New Roman"/>
      <w:b/>
      <w:caps/>
      <w:color w:val="00234E"/>
      <w:sz w:val="60"/>
      <w:szCs w:val="16"/>
      <w:lang w:val="en-US"/>
    </w:rPr>
  </w:style>
  <w:style w:type="paragraph" w:styleId="Heading4">
    <w:name w:val="heading 4"/>
    <w:basedOn w:val="Normal"/>
    <w:next w:val="Normal"/>
    <w:link w:val="Heading4Char"/>
    <w:uiPriority w:val="9"/>
    <w:semiHidden/>
    <w:unhideWhenUsed/>
    <w:qFormat/>
    <w:rsid w:val="00D60ABA"/>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ink">
    <w:name w:val="Link"/>
    <w:basedOn w:val="Bold"/>
    <w:uiPriority w:val="1"/>
    <w:qFormat/>
    <w:rsid w:val="00CE36E3"/>
    <w:rPr>
      <w:b/>
      <w:color w:val="005DA4"/>
    </w:rPr>
  </w:style>
  <w:style w:type="character" w:customStyle="1" w:styleId="Bold">
    <w:name w:val="Bold"/>
    <w:basedOn w:val="DefaultParagraphFont"/>
    <w:uiPriority w:val="1"/>
    <w:qFormat/>
    <w:rsid w:val="00A10BD4"/>
    <w:rPr>
      <w:b/>
    </w:rPr>
  </w:style>
  <w:style w:type="paragraph" w:styleId="Header">
    <w:name w:val="header"/>
    <w:basedOn w:val="Normal"/>
    <w:link w:val="HeaderChar"/>
    <w:uiPriority w:val="99"/>
    <w:unhideWhenUsed/>
    <w:rsid w:val="00037A5A"/>
    <w:pPr>
      <w:tabs>
        <w:tab w:val="center" w:pos="4680"/>
        <w:tab w:val="right" w:pos="9360"/>
      </w:tabs>
    </w:pPr>
  </w:style>
  <w:style w:type="character" w:customStyle="1" w:styleId="HeaderChar">
    <w:name w:val="Header Char"/>
    <w:basedOn w:val="DefaultParagraphFont"/>
    <w:link w:val="Header"/>
    <w:uiPriority w:val="99"/>
    <w:rsid w:val="00037A5A"/>
    <w:rPr>
      <w:rFonts w:ascii="avenir" w:hAnsi="avenir"/>
      <w:color w:val="00234E"/>
      <w:sz w:val="14"/>
    </w:rPr>
  </w:style>
  <w:style w:type="character" w:customStyle="1" w:styleId="QuoteBody">
    <w:name w:val="Quote Body"/>
    <w:uiPriority w:val="1"/>
    <w:qFormat/>
    <w:rsid w:val="00141442"/>
    <w:rPr>
      <w:rFonts w:ascii="Avenir Black" w:hAnsi="Avenir Black"/>
      <w:b/>
      <w:i w:val="0"/>
      <w:color w:val="FFFFFF" w:themeColor="background1"/>
      <w:spacing w:val="0"/>
      <w:sz w:val="20"/>
      <w:szCs w:val="18"/>
    </w:rPr>
  </w:style>
  <w:style w:type="character" w:customStyle="1" w:styleId="BulletPoints">
    <w:name w:val="Bullet Points"/>
    <w:basedOn w:val="DefaultParagraphFont"/>
    <w:uiPriority w:val="1"/>
    <w:qFormat/>
    <w:rsid w:val="00D33BB7"/>
  </w:style>
  <w:style w:type="character" w:customStyle="1" w:styleId="Heading1Char">
    <w:name w:val="Heading 1 Char"/>
    <w:aliases w:val="Heading 1 Template Char"/>
    <w:basedOn w:val="DefaultParagraphFont"/>
    <w:link w:val="Heading1"/>
    <w:uiPriority w:val="9"/>
    <w:rsid w:val="00421BE6"/>
    <w:rPr>
      <w:rFonts w:ascii="Avenir Roman" w:eastAsia="Times New Roman" w:hAnsi="Avenir Roman" w:cs="Times New Roman"/>
      <w:b/>
      <w:caps/>
      <w:color w:val="00234E"/>
      <w:sz w:val="60"/>
      <w:szCs w:val="16"/>
      <w:lang w:val="en-US"/>
    </w:rPr>
  </w:style>
  <w:style w:type="paragraph" w:styleId="Footer">
    <w:name w:val="footer"/>
    <w:basedOn w:val="Normal"/>
    <w:link w:val="FooterChar"/>
    <w:uiPriority w:val="99"/>
    <w:unhideWhenUsed/>
    <w:rsid w:val="00037A5A"/>
    <w:pPr>
      <w:tabs>
        <w:tab w:val="center" w:pos="4680"/>
        <w:tab w:val="right" w:pos="9360"/>
      </w:tabs>
    </w:pPr>
  </w:style>
  <w:style w:type="paragraph" w:customStyle="1" w:styleId="Subhead">
    <w:name w:val="Subhead"/>
    <w:basedOn w:val="BodyCopy"/>
    <w:next w:val="Normal"/>
    <w:qFormat/>
    <w:rsid w:val="006142D9"/>
    <w:pPr>
      <w:spacing w:before="120"/>
    </w:pPr>
    <w:rPr>
      <w:b/>
      <w:sz w:val="32"/>
      <w:szCs w:val="24"/>
    </w:rPr>
  </w:style>
  <w:style w:type="character" w:customStyle="1" w:styleId="FooterChar">
    <w:name w:val="Footer Char"/>
    <w:basedOn w:val="DefaultParagraphFont"/>
    <w:link w:val="Footer"/>
    <w:uiPriority w:val="99"/>
    <w:rsid w:val="00037A5A"/>
    <w:rPr>
      <w:rFonts w:ascii="avenir" w:hAnsi="avenir"/>
      <w:color w:val="00234E"/>
      <w:sz w:val="14"/>
    </w:rPr>
  </w:style>
  <w:style w:type="character" w:styleId="FootnoteReference">
    <w:name w:val="footnote reference"/>
    <w:basedOn w:val="DefaultParagraphFont"/>
    <w:uiPriority w:val="8"/>
    <w:unhideWhenUsed/>
    <w:qFormat/>
    <w:rsid w:val="00341718"/>
    <w:rPr>
      <w:vertAlign w:val="superscript"/>
    </w:rPr>
  </w:style>
  <w:style w:type="paragraph" w:styleId="EndnoteText">
    <w:name w:val="endnote text"/>
    <w:basedOn w:val="Normal"/>
    <w:link w:val="EndnoteTextChar"/>
    <w:uiPriority w:val="99"/>
    <w:semiHidden/>
    <w:unhideWhenUsed/>
    <w:rsid w:val="00F06187"/>
    <w:rPr>
      <w:sz w:val="20"/>
      <w:szCs w:val="20"/>
    </w:rPr>
  </w:style>
  <w:style w:type="paragraph" w:customStyle="1" w:styleId="BodyCopy">
    <w:name w:val="Body Copy"/>
    <w:qFormat/>
    <w:rsid w:val="00A94505"/>
    <w:pPr>
      <w:spacing w:after="120"/>
    </w:pPr>
    <w:rPr>
      <w:rFonts w:ascii="Avenir LT Std 35 Light" w:eastAsiaTheme="minorEastAsia" w:hAnsi="Avenir LT Std 35 Light" w:cs="Avenir LT Std 35 Light"/>
      <w:color w:val="00234E"/>
      <w:sz w:val="20"/>
      <w:szCs w:val="19"/>
      <w:lang w:bidi="th-TH"/>
    </w:rPr>
  </w:style>
  <w:style w:type="character" w:styleId="FollowedHyperlink">
    <w:name w:val="FollowedHyperlink"/>
    <w:basedOn w:val="DefaultParagraphFont"/>
    <w:uiPriority w:val="99"/>
    <w:semiHidden/>
    <w:unhideWhenUsed/>
    <w:rsid w:val="00F978C2"/>
    <w:rPr>
      <w:color w:val="954F72" w:themeColor="followedHyperlink"/>
      <w:u w:val="single"/>
    </w:rPr>
  </w:style>
  <w:style w:type="paragraph" w:customStyle="1" w:styleId="References">
    <w:name w:val="References"/>
    <w:basedOn w:val="BodyCopy"/>
    <w:next w:val="BodyCopy"/>
    <w:qFormat/>
    <w:rsid w:val="00F978C2"/>
    <w:rPr>
      <w:sz w:val="14"/>
      <w:szCs w:val="16"/>
    </w:rPr>
  </w:style>
  <w:style w:type="character" w:customStyle="1" w:styleId="EndnoteTextChar">
    <w:name w:val="Endnote Text Char"/>
    <w:basedOn w:val="DefaultParagraphFont"/>
    <w:link w:val="EndnoteText"/>
    <w:uiPriority w:val="99"/>
    <w:semiHidden/>
    <w:rsid w:val="00F06187"/>
    <w:rPr>
      <w:rFonts w:ascii="avenir" w:hAnsi="avenir"/>
      <w:color w:val="00234E"/>
      <w:sz w:val="20"/>
      <w:szCs w:val="20"/>
    </w:rPr>
  </w:style>
  <w:style w:type="character" w:styleId="EndnoteReference">
    <w:name w:val="endnote reference"/>
    <w:basedOn w:val="DefaultParagraphFont"/>
    <w:uiPriority w:val="99"/>
    <w:semiHidden/>
    <w:unhideWhenUsed/>
    <w:rsid w:val="00F06187"/>
    <w:rPr>
      <w:vertAlign w:val="superscript"/>
    </w:rPr>
  </w:style>
  <w:style w:type="paragraph" w:styleId="FootnoteText">
    <w:name w:val="footnote text"/>
    <w:basedOn w:val="Normal"/>
    <w:link w:val="FootnoteTextChar"/>
    <w:uiPriority w:val="8"/>
    <w:unhideWhenUsed/>
    <w:qFormat/>
    <w:rsid w:val="00F06187"/>
    <w:rPr>
      <w:sz w:val="20"/>
      <w:szCs w:val="20"/>
    </w:rPr>
  </w:style>
  <w:style w:type="character" w:customStyle="1" w:styleId="FootnoteTextChar">
    <w:name w:val="Footnote Text Char"/>
    <w:basedOn w:val="DefaultParagraphFont"/>
    <w:link w:val="FootnoteText"/>
    <w:uiPriority w:val="8"/>
    <w:rsid w:val="00F06187"/>
    <w:rPr>
      <w:rFonts w:ascii="avenir" w:hAnsi="avenir"/>
      <w:color w:val="00234E"/>
      <w:sz w:val="20"/>
      <w:szCs w:val="20"/>
    </w:rPr>
  </w:style>
  <w:style w:type="character" w:customStyle="1" w:styleId="HeadlineTopLeft">
    <w:name w:val="Headline Top Left"/>
    <w:basedOn w:val="DefaultParagraphFont"/>
    <w:uiPriority w:val="1"/>
    <w:qFormat/>
    <w:rsid w:val="00083B78"/>
  </w:style>
  <w:style w:type="paragraph" w:customStyle="1" w:styleId="AddressTopRight">
    <w:name w:val="Address Top Right"/>
    <w:qFormat/>
    <w:rsid w:val="006142D9"/>
    <w:pPr>
      <w:spacing w:after="20"/>
      <w:ind w:left="6480" w:hanging="6480"/>
    </w:pPr>
    <w:rPr>
      <w:rFonts w:ascii="Avenir LT Std 35 Light" w:eastAsiaTheme="minorEastAsia" w:hAnsi="Avenir LT Std 35 Light" w:cs="Avenir LT Std 35 Light"/>
      <w:color w:val="00234E"/>
      <w:spacing w:val="-4"/>
      <w:sz w:val="16"/>
      <w:szCs w:val="19"/>
      <w:lang w:bidi="th-TH"/>
    </w:rPr>
  </w:style>
  <w:style w:type="paragraph" w:customStyle="1" w:styleId="BodyCopy7pt">
    <w:name w:val="Body Copy 7pt"/>
    <w:basedOn w:val="BodyCopy"/>
    <w:qFormat/>
    <w:rsid w:val="00321F94"/>
    <w:pPr>
      <w:spacing w:after="30"/>
      <w:ind w:firstLine="7797"/>
    </w:pPr>
    <w:rPr>
      <w:noProof/>
      <w:sz w:val="16"/>
      <w:szCs w:val="16"/>
    </w:rPr>
  </w:style>
  <w:style w:type="character" w:styleId="Hyperlink">
    <w:name w:val="Hyperlink"/>
    <w:basedOn w:val="DefaultParagraphFont"/>
    <w:uiPriority w:val="99"/>
    <w:unhideWhenUsed/>
    <w:rsid w:val="00970841"/>
    <w:rPr>
      <w:color w:val="0563C1" w:themeColor="hyperlink"/>
      <w:u w:val="single"/>
    </w:rPr>
  </w:style>
  <w:style w:type="character" w:customStyle="1" w:styleId="UnresolvedMention1">
    <w:name w:val="Unresolved Mention1"/>
    <w:basedOn w:val="DefaultParagraphFont"/>
    <w:uiPriority w:val="99"/>
    <w:semiHidden/>
    <w:unhideWhenUsed/>
    <w:rsid w:val="00970841"/>
    <w:rPr>
      <w:color w:val="605E5C"/>
      <w:shd w:val="clear" w:color="auto" w:fill="E1DFDD"/>
    </w:rPr>
  </w:style>
  <w:style w:type="paragraph" w:customStyle="1" w:styleId="Default">
    <w:name w:val="Default"/>
    <w:rsid w:val="00762C84"/>
    <w:pPr>
      <w:autoSpaceDE w:val="0"/>
      <w:autoSpaceDN w:val="0"/>
      <w:adjustRightInd w:val="0"/>
    </w:pPr>
    <w:rPr>
      <w:rFonts w:ascii="Arial" w:hAnsi="Arial" w:cs="Arial"/>
      <w:color w:val="000000"/>
    </w:rPr>
  </w:style>
  <w:style w:type="paragraph" w:styleId="BalloonText">
    <w:name w:val="Balloon Text"/>
    <w:basedOn w:val="Normal"/>
    <w:link w:val="BalloonTextChar"/>
    <w:uiPriority w:val="99"/>
    <w:semiHidden/>
    <w:unhideWhenUsed/>
    <w:rsid w:val="008C3BA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3BA7"/>
    <w:rPr>
      <w:rFonts w:ascii="Segoe UI" w:hAnsi="Segoe UI" w:cs="Segoe UI"/>
      <w:color w:val="00234E"/>
      <w:sz w:val="18"/>
      <w:szCs w:val="18"/>
    </w:rPr>
  </w:style>
  <w:style w:type="paragraph" w:styleId="ListParagraph">
    <w:name w:val="List Paragraph"/>
    <w:basedOn w:val="Normal"/>
    <w:link w:val="ListParagraphChar"/>
    <w:uiPriority w:val="34"/>
    <w:qFormat/>
    <w:rsid w:val="008F6119"/>
    <w:pPr>
      <w:ind w:left="720"/>
      <w:contextualSpacing/>
    </w:pPr>
    <w:rPr>
      <w:rFonts w:ascii="Verdana" w:eastAsia="Times New Roman" w:hAnsi="Verdana" w:cs="Times New Roman"/>
      <w:color w:val="auto"/>
      <w:sz w:val="24"/>
      <w:lang w:eastAsia="en-AU"/>
    </w:rPr>
  </w:style>
  <w:style w:type="character" w:customStyle="1" w:styleId="ListParagraphChar">
    <w:name w:val="List Paragraph Char"/>
    <w:link w:val="ListParagraph"/>
    <w:uiPriority w:val="34"/>
    <w:rsid w:val="008F6119"/>
    <w:rPr>
      <w:rFonts w:ascii="Verdana" w:eastAsia="Times New Roman" w:hAnsi="Verdana" w:cs="Times New Roman"/>
      <w:lang w:eastAsia="en-AU"/>
    </w:rPr>
  </w:style>
  <w:style w:type="character" w:styleId="CommentReference">
    <w:name w:val="annotation reference"/>
    <w:basedOn w:val="DefaultParagraphFont"/>
    <w:uiPriority w:val="99"/>
    <w:semiHidden/>
    <w:unhideWhenUsed/>
    <w:rsid w:val="00FB3C63"/>
    <w:rPr>
      <w:sz w:val="16"/>
      <w:szCs w:val="16"/>
    </w:rPr>
  </w:style>
  <w:style w:type="paragraph" w:styleId="CommentText">
    <w:name w:val="annotation text"/>
    <w:basedOn w:val="Normal"/>
    <w:link w:val="CommentTextChar"/>
    <w:uiPriority w:val="99"/>
    <w:unhideWhenUsed/>
    <w:rsid w:val="00FB3C63"/>
    <w:rPr>
      <w:sz w:val="20"/>
      <w:szCs w:val="20"/>
    </w:rPr>
  </w:style>
  <w:style w:type="character" w:customStyle="1" w:styleId="CommentTextChar">
    <w:name w:val="Comment Text Char"/>
    <w:basedOn w:val="DefaultParagraphFont"/>
    <w:link w:val="CommentText"/>
    <w:uiPriority w:val="99"/>
    <w:rsid w:val="00FB3C63"/>
    <w:rPr>
      <w:rFonts w:ascii="avenir" w:hAnsi="avenir"/>
      <w:color w:val="00234E"/>
      <w:sz w:val="20"/>
      <w:szCs w:val="20"/>
    </w:rPr>
  </w:style>
  <w:style w:type="paragraph" w:styleId="CommentSubject">
    <w:name w:val="annotation subject"/>
    <w:basedOn w:val="CommentText"/>
    <w:next w:val="CommentText"/>
    <w:link w:val="CommentSubjectChar"/>
    <w:uiPriority w:val="99"/>
    <w:semiHidden/>
    <w:unhideWhenUsed/>
    <w:rsid w:val="00FB3C63"/>
    <w:rPr>
      <w:b/>
      <w:bCs/>
    </w:rPr>
  </w:style>
  <w:style w:type="character" w:customStyle="1" w:styleId="CommentSubjectChar">
    <w:name w:val="Comment Subject Char"/>
    <w:basedOn w:val="CommentTextChar"/>
    <w:link w:val="CommentSubject"/>
    <w:uiPriority w:val="99"/>
    <w:semiHidden/>
    <w:rsid w:val="00FB3C63"/>
    <w:rPr>
      <w:rFonts w:ascii="avenir" w:hAnsi="avenir"/>
      <w:b/>
      <w:bCs/>
      <w:color w:val="00234E"/>
      <w:sz w:val="20"/>
      <w:szCs w:val="20"/>
    </w:rPr>
  </w:style>
  <w:style w:type="character" w:styleId="UnresolvedMention">
    <w:name w:val="Unresolved Mention"/>
    <w:basedOn w:val="DefaultParagraphFont"/>
    <w:uiPriority w:val="99"/>
    <w:semiHidden/>
    <w:unhideWhenUsed/>
    <w:rsid w:val="004D68A1"/>
    <w:rPr>
      <w:color w:val="605E5C"/>
      <w:shd w:val="clear" w:color="auto" w:fill="E1DFDD"/>
    </w:rPr>
  </w:style>
  <w:style w:type="table" w:styleId="TableGrid">
    <w:name w:val="Table Grid"/>
    <w:basedOn w:val="TableNormal"/>
    <w:uiPriority w:val="39"/>
    <w:rsid w:val="006B76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532163"/>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Revision">
    <w:name w:val="Revision"/>
    <w:hidden/>
    <w:uiPriority w:val="99"/>
    <w:semiHidden/>
    <w:rsid w:val="0073790E"/>
    <w:rPr>
      <w:rFonts w:ascii="avenir" w:hAnsi="avenir"/>
      <w:color w:val="00234E"/>
      <w:sz w:val="14"/>
    </w:rPr>
  </w:style>
  <w:style w:type="character" w:customStyle="1" w:styleId="Heading4Char">
    <w:name w:val="Heading 4 Char"/>
    <w:basedOn w:val="DefaultParagraphFont"/>
    <w:link w:val="Heading4"/>
    <w:uiPriority w:val="9"/>
    <w:semiHidden/>
    <w:rsid w:val="00D60ABA"/>
    <w:rPr>
      <w:rFonts w:asciiTheme="majorHAnsi" w:eastAsiaTheme="majorEastAsia" w:hAnsiTheme="majorHAnsi" w:cstheme="majorBidi"/>
      <w:i/>
      <w:iCs/>
      <w:color w:val="2F5496" w:themeColor="accent1" w:themeShade="BF"/>
      <w:sz w:val="14"/>
    </w:rPr>
  </w:style>
  <w:style w:type="paragraph" w:styleId="NoSpacing">
    <w:name w:val="No Spacing"/>
    <w:basedOn w:val="Normal"/>
    <w:uiPriority w:val="8"/>
    <w:qFormat/>
    <w:rsid w:val="00C919D3"/>
    <w:pPr>
      <w:spacing w:before="40" w:after="40" w:line="312" w:lineRule="auto"/>
    </w:pPr>
    <w:rPr>
      <w:rFonts w:ascii="Arial" w:hAnsi="Arial"/>
      <w:noProof/>
      <w:color w:val="auto"/>
      <w:sz w:val="20"/>
      <w:szCs w:val="20"/>
      <w:lang w:val="en-NZ"/>
    </w:rPr>
  </w:style>
  <w:style w:type="paragraph" w:customStyle="1" w:styleId="paragraph">
    <w:name w:val="paragraph"/>
    <w:basedOn w:val="Normal"/>
    <w:rsid w:val="00C919D3"/>
    <w:pPr>
      <w:spacing w:before="100" w:beforeAutospacing="1" w:after="100" w:afterAutospacing="1"/>
    </w:pPr>
    <w:rPr>
      <w:rFonts w:ascii="Times New Roman" w:eastAsia="Times New Roman" w:hAnsi="Times New Roman" w:cs="Times New Roman"/>
      <w:color w:val="auto"/>
      <w:sz w:val="24"/>
      <w:lang w:eastAsia="en-AU"/>
    </w:rPr>
  </w:style>
  <w:style w:type="character" w:customStyle="1" w:styleId="normaltextrun">
    <w:name w:val="normaltextrun"/>
    <w:basedOn w:val="DefaultParagraphFont"/>
    <w:rsid w:val="00C919D3"/>
  </w:style>
  <w:style w:type="table" w:customStyle="1" w:styleId="CAANZDefaulttable1">
    <w:name w:val="CA ANZ Default table1"/>
    <w:basedOn w:val="TableNormal"/>
    <w:next w:val="TableGrid"/>
    <w:uiPriority w:val="39"/>
    <w:rsid w:val="00C919D3"/>
    <w:pPr>
      <w:spacing w:before="140" w:after="40" w:line="312" w:lineRule="auto"/>
      <w:ind w:left="85" w:right="85"/>
    </w:pPr>
    <w:rPr>
      <w:rFonts w:ascii="Arial" w:hAnsi="Arial"/>
      <w:color w:val="000000" w:themeColor="text1"/>
      <w:sz w:val="16"/>
      <w:szCs w:val="20"/>
      <w:lang w:val="en-NZ"/>
    </w:rPr>
    <w:tblPr>
      <w:tblStyleColBandSize w:val="1"/>
      <w:tblBorders>
        <w:top w:val="single" w:sz="6" w:space="0" w:color="A5A5A5" w:themeColor="accent3"/>
        <w:bottom w:val="single" w:sz="6" w:space="0" w:color="A5A5A5" w:themeColor="accent3"/>
        <w:insideH w:val="single" w:sz="2" w:space="0" w:color="A5A5A5" w:themeColor="accent3"/>
        <w:insideV w:val="single" w:sz="18" w:space="0" w:color="FFFFFF" w:themeColor="background1"/>
      </w:tblBorders>
    </w:tblPr>
    <w:tcPr>
      <w:shd w:val="clear" w:color="auto" w:fill="auto"/>
      <w:tcMar>
        <w:left w:w="0" w:type="dxa"/>
        <w:right w:w="0" w:type="dxa"/>
      </w:tcMar>
    </w:tcPr>
    <w:tblStylePr w:type="firstRow">
      <w:pPr>
        <w:wordWrap/>
        <w:spacing w:beforeLines="0" w:before="140" w:beforeAutospacing="0" w:afterLines="0" w:after="40" w:afterAutospacing="0" w:line="312" w:lineRule="auto"/>
        <w:ind w:leftChars="0" w:left="85" w:rightChars="0" w:right="85" w:firstLineChars="0" w:firstLine="0"/>
        <w:contextualSpacing w:val="0"/>
        <w:mirrorIndents w:val="0"/>
        <w:jc w:val="left"/>
        <w:outlineLvl w:val="9"/>
      </w:pPr>
      <w:rPr>
        <w:rFonts w:ascii="@Microsoft YaHei UI" w:hAnsi="@Microsoft YaHei UI"/>
        <w:b/>
        <w:i w:val="0"/>
        <w:color w:val="000000" w:themeColor="text1"/>
        <w:sz w:val="16"/>
      </w:rPr>
      <w:tblPr/>
      <w:tcPr>
        <w:tcBorders>
          <w:top w:val="single" w:sz="6" w:space="0" w:color="A5A5A5" w:themeColor="accent3"/>
          <w:left w:val="nil"/>
          <w:bottom w:val="nil"/>
          <w:right w:val="nil"/>
          <w:insideH w:val="nil"/>
          <w:insideV w:val="single" w:sz="18" w:space="0" w:color="FFFFFF" w:themeColor="background1"/>
          <w:tl2br w:val="nil"/>
          <w:tr2bl w:val="nil"/>
        </w:tcBorders>
        <w:vAlign w:val="center"/>
      </w:tcPr>
    </w:tblStylePr>
    <w:tblStylePr w:type="lastRow">
      <w:pPr>
        <w:wordWrap/>
        <w:spacing w:beforeLines="0" w:before="140" w:beforeAutospacing="0" w:afterLines="0" w:after="40" w:afterAutospacing="0" w:line="312" w:lineRule="auto"/>
        <w:ind w:leftChars="0" w:left="85" w:rightChars="0" w:right="85" w:firstLineChars="0" w:firstLine="0"/>
        <w:contextualSpacing w:val="0"/>
        <w:mirrorIndents w:val="0"/>
        <w:jc w:val="left"/>
        <w:outlineLvl w:val="9"/>
      </w:pPr>
      <w:rPr>
        <w:rFonts w:ascii="Arial" w:hAnsi="Arial"/>
        <w:b/>
        <w:i w:val="0"/>
        <w:sz w:val="16"/>
      </w:rPr>
      <w:tblPr/>
      <w:tcPr>
        <w:tcBorders>
          <w:top w:val="nil"/>
          <w:left w:val="nil"/>
          <w:bottom w:val="single" w:sz="6" w:space="0" w:color="A5A5A5" w:themeColor="accent3"/>
          <w:right w:val="nil"/>
          <w:insideH w:val="nil"/>
          <w:insideV w:val="single" w:sz="18" w:space="0" w:color="FFFFFF" w:themeColor="background1"/>
          <w:tl2br w:val="nil"/>
          <w:tr2bl w:val="nil"/>
        </w:tcBorders>
      </w:tcPr>
    </w:tblStylePr>
    <w:tblStylePr w:type="firstCol">
      <w:pPr>
        <w:wordWrap/>
        <w:spacing w:beforeLines="0" w:before="140" w:beforeAutospacing="0" w:afterLines="0" w:after="40" w:afterAutospacing="0" w:line="312" w:lineRule="auto"/>
        <w:ind w:leftChars="0" w:left="85" w:rightChars="0" w:right="85" w:firstLineChars="0" w:firstLine="0"/>
        <w:contextualSpacing w:val="0"/>
        <w:mirrorIndents w:val="0"/>
        <w:jc w:val="left"/>
        <w:outlineLvl w:val="9"/>
      </w:pPr>
      <w:rPr>
        <w:rFonts w:ascii="Arial" w:hAnsi="Arial"/>
        <w:b/>
        <w:i w:val="0"/>
        <w:color w:val="000000" w:themeColor="text1"/>
        <w:sz w:val="16"/>
      </w:rPr>
    </w:tblStylePr>
    <w:tblStylePr w:type="band2Vert">
      <w:rPr>
        <w:rFonts w:ascii="Arial" w:hAnsi="Arial"/>
        <w:b w:val="0"/>
        <w:i w:val="0"/>
        <w:color w:val="000000" w:themeColor="text1"/>
        <w:sz w:val="16"/>
      </w:rPr>
      <w:tblPr/>
      <w:tcPr>
        <w:shd w:val="clear" w:color="auto" w:fill="EEF1FA"/>
      </w:tcPr>
    </w:tblStylePr>
  </w:style>
  <w:style w:type="character" w:styleId="Mention">
    <w:name w:val="Mention"/>
    <w:basedOn w:val="DefaultParagraphFont"/>
    <w:uiPriority w:val="99"/>
    <w:unhideWhenUsed/>
    <w:rsid w:val="0016631E"/>
    <w:rPr>
      <w:color w:val="2B579A"/>
      <w:shd w:val="clear" w:color="auto" w:fill="E1DFDD"/>
    </w:rPr>
  </w:style>
  <w:style w:type="paragraph" w:styleId="NormalWeb">
    <w:name w:val="Normal (Web)"/>
    <w:basedOn w:val="Normal"/>
    <w:uiPriority w:val="99"/>
    <w:semiHidden/>
    <w:unhideWhenUsed/>
    <w:rsid w:val="00970F31"/>
    <w:rPr>
      <w:rFonts w:ascii="Times New Roman" w:hAnsi="Times New Roman"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5594540">
      <w:bodyDiv w:val="1"/>
      <w:marLeft w:val="0"/>
      <w:marRight w:val="0"/>
      <w:marTop w:val="0"/>
      <w:marBottom w:val="0"/>
      <w:divBdr>
        <w:top w:val="none" w:sz="0" w:space="0" w:color="auto"/>
        <w:left w:val="none" w:sz="0" w:space="0" w:color="auto"/>
        <w:bottom w:val="none" w:sz="0" w:space="0" w:color="auto"/>
        <w:right w:val="none" w:sz="0" w:space="0" w:color="auto"/>
      </w:divBdr>
    </w:div>
    <w:div w:id="984554245">
      <w:bodyDiv w:val="1"/>
      <w:marLeft w:val="0"/>
      <w:marRight w:val="0"/>
      <w:marTop w:val="0"/>
      <w:marBottom w:val="0"/>
      <w:divBdr>
        <w:top w:val="none" w:sz="0" w:space="0" w:color="auto"/>
        <w:left w:val="none" w:sz="0" w:space="0" w:color="auto"/>
        <w:bottom w:val="none" w:sz="0" w:space="0" w:color="auto"/>
        <w:right w:val="none" w:sz="0" w:space="0" w:color="auto"/>
      </w:divBdr>
    </w:div>
    <w:div w:id="1314069621">
      <w:bodyDiv w:val="1"/>
      <w:marLeft w:val="0"/>
      <w:marRight w:val="0"/>
      <w:marTop w:val="0"/>
      <w:marBottom w:val="0"/>
      <w:divBdr>
        <w:top w:val="none" w:sz="0" w:space="0" w:color="auto"/>
        <w:left w:val="none" w:sz="0" w:space="0" w:color="auto"/>
        <w:bottom w:val="none" w:sz="0" w:space="0" w:color="auto"/>
        <w:right w:val="none" w:sz="0" w:space="0" w:color="auto"/>
      </w:divBdr>
    </w:div>
    <w:div w:id="1360933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asb.gov.au"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cpaaustralia.com.au/-/media/project/cpa/corporate/documents/policy-and-advocacy/consultations-and-submissions/financial-reporting/2026/aasb18-nfp-and-universities-additional-consultation-publication.pdf?rev=586415b4df4f4097bfd18bfcc67ae401"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am.subramanian@cpaaustralia.com.au"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www.cpaaustralia.com.au/-/media/project/cpa/corporate/documents/policy-and-advocacy/consultations-and-submissions/financial-reporting/2026/itc-56-submissionfinalise-publication.pdf?rev=602d4fe4f5a64960834ffc48fa5d5b70" TargetMode="External"/><Relationship Id="rId4" Type="http://schemas.openxmlformats.org/officeDocument/2006/relationships/settings" Target="settings.xml"/><Relationship Id="rId9" Type="http://schemas.openxmlformats.org/officeDocument/2006/relationships/hyperlink" Target="https://www.cpaaustralia.com.au/-/media/project/cpa/corporate/documents/policy-and-advocacy/consultations-and-submissions/financial-reporting/2026/ed-338-submission-finalise-publication.pdf?rev=489a2ccec852468d889b0ce2c370d8b4" TargetMode="Externa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8112EF-A920-45D9-BBEE-83C7D0F8B5B9}">
  <ds:schemaRefs>
    <ds:schemaRef ds:uri="http://schemas.openxmlformats.org/officeDocument/2006/bibliography"/>
  </ds:schemaRefs>
</ds:datastoreItem>
</file>

<file path=docMetadata/LabelInfo.xml><?xml version="1.0" encoding="utf-8"?>
<clbl:labelList xmlns:clbl="http://schemas.microsoft.com/office/2020/mipLabelMetadata">
  <clbl:label id="{66dd7ebd-e889-41d8-8d7d-509f81a34fc2}" enabled="1" method="Privileged" siteId="{8d38bb39-597f-45b8-8be9-24005692c305}" removed="0"/>
</clbl:labelList>
</file>

<file path=docProps/app.xml><?xml version="1.0" encoding="utf-8"?>
<Properties xmlns="http://schemas.openxmlformats.org/officeDocument/2006/extended-properties" xmlns:vt="http://schemas.openxmlformats.org/officeDocument/2006/docPropsVTypes">
  <Template>Normal</Template>
  <TotalTime>1059</TotalTime>
  <Pages>7</Pages>
  <Words>3131</Words>
  <Characters>17817</Characters>
  <Application>Microsoft Office Word</Application>
  <DocSecurity>0</DocSecurity>
  <Lines>269</Lines>
  <Paragraphs>97</Paragraphs>
  <ScaleCrop>false</ScaleCrop>
  <Company/>
  <LinksUpToDate>false</LinksUpToDate>
  <CharactersWithSpaces>20851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Aniceta Sabrina</dc:creator>
  <cp:keywords/>
  <dc:description/>
  <cp:lastModifiedBy>Vincent Lok</cp:lastModifiedBy>
  <cp:revision>177</cp:revision>
  <cp:lastPrinted>2026-03-11T21:34:00Z</cp:lastPrinted>
  <dcterms:created xsi:type="dcterms:W3CDTF">2026-04-25T01:38:00Z</dcterms:created>
  <dcterms:modified xsi:type="dcterms:W3CDTF">2026-08-24T05:51:00Z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ffaa48319a64dbd5302d6db6fb2810520f04f6d6fb3d91d1ee7e3c45292ccbf1</vt:lpwstr>
  </property>
</Properties>
</file>